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CE400C" w:rsidRPr="00CE400C" w:rsidRDefault="00CE400C" w:rsidP="00CE400C">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CE400C" w:rsidRDefault="00CE400C" w:rsidP="00CE400C">
      <w:pPr>
        <w:pStyle w:val="NormalWeb"/>
        <w:spacing w:before="0" w:beforeAutospacing="0" w:after="0" w:afterAutospacing="0"/>
        <w:jc w:val="both"/>
        <w:rPr>
          <w:rFonts w:ascii="Arial" w:hAnsi="Arial" w:cs="Arial"/>
          <w:b/>
          <w:bCs/>
          <w:caps/>
          <w:color w:val="376889"/>
          <w:sz w:val="21"/>
          <w:szCs w:val="21"/>
        </w:rPr>
      </w:pPr>
    </w:p>
    <w:p w:rsidR="004E2070" w:rsidRDefault="004E2070" w:rsidP="004E2070">
      <w:pPr>
        <w:pStyle w:val="NormalWeb"/>
        <w:spacing w:before="0" w:beforeAutospacing="0" w:after="0" w:afterAutospacing="0"/>
        <w:jc w:val="both"/>
        <w:rPr>
          <w:rFonts w:ascii="Arial" w:hAnsi="Arial" w:cs="Arial"/>
          <w:b/>
          <w:bCs/>
          <w:caps/>
          <w:color w:val="376889"/>
          <w:sz w:val="21"/>
          <w:szCs w:val="21"/>
        </w:rPr>
      </w:pPr>
      <w:r w:rsidRPr="004E2070">
        <w:rPr>
          <w:rFonts w:ascii="Arial" w:hAnsi="Arial" w:cs="Arial"/>
          <w:b/>
          <w:bCs/>
          <w:caps/>
          <w:color w:val="002F5D"/>
          <w:sz w:val="21"/>
          <w:szCs w:val="21"/>
        </w:rPr>
        <w:t>Pymes</w:t>
      </w:r>
      <w:r>
        <w:rPr>
          <w:rFonts w:ascii="Arial" w:hAnsi="Arial" w:cs="Arial"/>
          <w:b/>
          <w:bCs/>
          <w:caps/>
          <w:color w:val="002F5D"/>
          <w:sz w:val="21"/>
          <w:szCs w:val="21"/>
        </w:rPr>
        <w:t xml:space="preserve"> - </w:t>
      </w:r>
      <w:r w:rsidRPr="004E2070">
        <w:rPr>
          <w:rFonts w:ascii="Arial" w:hAnsi="Arial" w:cs="Arial"/>
          <w:b/>
          <w:bCs/>
          <w:caps/>
          <w:color w:val="002F5D"/>
          <w:sz w:val="21"/>
          <w:szCs w:val="21"/>
        </w:rPr>
        <w:t>La AFIP suspende embargos hasta el 11/11/2019 y posibilita usar libremente el dinero embargado</w:t>
      </w:r>
    </w:p>
    <w:p w:rsidR="00CE400C" w:rsidRPr="004E2070" w:rsidRDefault="00CE400C" w:rsidP="00CE400C">
      <w:pPr>
        <w:pStyle w:val="NormalWeb"/>
        <w:spacing w:before="0" w:beforeAutospacing="0" w:after="0" w:afterAutospacing="0"/>
        <w:jc w:val="both"/>
        <w:rPr>
          <w:rFonts w:ascii="Arial" w:hAnsi="Arial" w:cs="Arial"/>
          <w:b/>
          <w:bCs/>
          <w:caps/>
          <w:color w:val="002F5D"/>
          <w:sz w:val="21"/>
          <w:szCs w:val="21"/>
        </w:rPr>
      </w:pPr>
    </w:p>
    <w:p w:rsidR="005516F1" w:rsidRDefault="004E2070"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4E2070">
        <w:rPr>
          <w:rFonts w:ascii="Arial" w:eastAsia="Times New Roman" w:hAnsi="Arial" w:cs="Arial"/>
          <w:b/>
          <w:bCs/>
          <w:color w:val="666666"/>
          <w:sz w:val="20"/>
          <w:szCs w:val="20"/>
        </w:rPr>
        <w:t>La AFIP comunica que, en el marco de las medidas económicas tomadas para los contribuyentes, suspende para las pymes los embargos hasta el 11/11/2019 y permite disponer libremente de las sumas previamente embargadas</w:t>
      </w:r>
      <w:r w:rsidR="00484F8D">
        <w:rPr>
          <w:rFonts w:ascii="Arial" w:eastAsia="Times New Roman" w:hAnsi="Arial" w:cs="Arial"/>
          <w:b/>
          <w:bCs/>
          <w:color w:val="666666"/>
          <w:sz w:val="20"/>
          <w:szCs w:val="20"/>
        </w:rPr>
        <w:t>.</w:t>
      </w:r>
    </w:p>
    <w:p w:rsidR="00484F8D" w:rsidRPr="00CE400C" w:rsidRDefault="00484F8D" w:rsidP="005516F1">
      <w:pPr>
        <w:pStyle w:val="NormalWeb"/>
        <w:spacing w:before="0" w:beforeAutospacing="0" w:after="0" w:afterAutospacing="0" w:line="360" w:lineRule="auto"/>
        <w:jc w:val="both"/>
        <w:rPr>
          <w:rFonts w:ascii="Arial" w:eastAsia="Times New Roman" w:hAnsi="Arial" w:cs="Arial"/>
          <w:b/>
          <w:bCs/>
          <w:color w:val="666666"/>
          <w:sz w:val="20"/>
          <w:szCs w:val="20"/>
        </w:rPr>
      </w:pPr>
    </w:p>
    <w:p w:rsidR="004E2070" w:rsidRDefault="00484F8D" w:rsidP="004E2070">
      <w:pPr>
        <w:pStyle w:val="NormalWeb"/>
        <w:spacing w:before="0" w:beforeAutospacing="0" w:after="0" w:afterAutospacing="0"/>
        <w:jc w:val="both"/>
        <w:rPr>
          <w:rFonts w:ascii="Arial" w:hAnsi="Arial" w:cs="Arial"/>
          <w:b/>
          <w:bCs/>
          <w:caps/>
          <w:color w:val="002F5D"/>
          <w:sz w:val="21"/>
          <w:szCs w:val="21"/>
        </w:rPr>
      </w:pPr>
      <w:r w:rsidRPr="00484F8D">
        <w:rPr>
          <w:rFonts w:ascii="Arial" w:hAnsi="Arial" w:cs="Arial"/>
          <w:b/>
          <w:bCs/>
          <w:caps/>
          <w:color w:val="002F5D"/>
          <w:sz w:val="21"/>
          <w:szCs w:val="21"/>
        </w:rPr>
        <w:t>“</w:t>
      </w:r>
      <w:r w:rsidR="004E2070" w:rsidRPr="004E2070">
        <w:rPr>
          <w:rFonts w:ascii="Arial" w:hAnsi="Arial" w:cs="Arial"/>
          <w:b/>
          <w:bCs/>
          <w:caps/>
          <w:color w:val="002F5D"/>
          <w:sz w:val="21"/>
          <w:szCs w:val="21"/>
        </w:rPr>
        <w:t>Beneficio de alícuota cero. Decreto 567/2019</w:t>
      </w:r>
    </w:p>
    <w:p w:rsidR="004E2070" w:rsidRDefault="004E2070" w:rsidP="004E2070">
      <w:pPr>
        <w:pStyle w:val="NormalWeb"/>
        <w:spacing w:before="0" w:beforeAutospacing="0" w:after="0" w:afterAutospacing="0"/>
        <w:jc w:val="both"/>
        <w:rPr>
          <w:rFonts w:ascii="Arial" w:hAnsi="Arial" w:cs="Arial"/>
          <w:b/>
          <w:bCs/>
          <w:caps/>
          <w:color w:val="002F5D"/>
          <w:sz w:val="21"/>
          <w:szCs w:val="21"/>
        </w:rPr>
      </w:pPr>
    </w:p>
    <w:p w:rsidR="004E2070" w:rsidRDefault="004E2070" w:rsidP="004E2070">
      <w:pPr>
        <w:pStyle w:val="NormalWeb"/>
        <w:spacing w:before="0" w:beforeAutospacing="0" w:after="0" w:afterAutospacing="0"/>
        <w:jc w:val="both"/>
        <w:rPr>
          <w:rFonts w:ascii="Arial" w:hAnsi="Arial" w:cs="Arial"/>
          <w:b/>
          <w:bCs/>
          <w:color w:val="376889"/>
          <w:sz w:val="20"/>
          <w:szCs w:val="20"/>
        </w:rPr>
      </w:pPr>
      <w:r w:rsidRPr="004E2070">
        <w:rPr>
          <w:rFonts w:ascii="Arial" w:hAnsi="Arial" w:cs="Arial"/>
          <w:b/>
          <w:bCs/>
          <w:caps/>
          <w:color w:val="002F5D"/>
          <w:sz w:val="21"/>
          <w:szCs w:val="21"/>
        </w:rPr>
        <w:t>Las microempresas o "potenciales microempresas", ¿deben realizar algún procedimiento para gozar de la alícuota 0% del IVA en los productos de la canasta básica que les facturen sus proveedores</w:t>
      </w:r>
      <w:r>
        <w:rPr>
          <w:rFonts w:ascii="Arial" w:hAnsi="Arial" w:cs="Arial"/>
          <w:b/>
          <w:bCs/>
          <w:color w:val="376889"/>
          <w:sz w:val="20"/>
          <w:szCs w:val="20"/>
        </w:rPr>
        <w:t>?</w:t>
      </w:r>
    </w:p>
    <w:p w:rsidR="004E2070" w:rsidRDefault="004E2070" w:rsidP="004E2070">
      <w:pPr>
        <w:pStyle w:val="NormalWeb"/>
        <w:spacing w:before="0" w:beforeAutospacing="0" w:after="0" w:afterAutospacing="0"/>
        <w:jc w:val="both"/>
        <w:rPr>
          <w:rFonts w:ascii="Arial" w:hAnsi="Arial" w:cs="Arial"/>
          <w:b/>
          <w:bCs/>
          <w:color w:val="376889"/>
          <w:sz w:val="20"/>
          <w:szCs w:val="20"/>
        </w:rPr>
      </w:pPr>
    </w:p>
    <w:p w:rsidR="004E2070" w:rsidRPr="004E2070" w:rsidRDefault="004E2070" w:rsidP="004E2070">
      <w:pPr>
        <w:spacing w:line="360" w:lineRule="auto"/>
        <w:jc w:val="both"/>
        <w:rPr>
          <w:rFonts w:ascii="Arial" w:eastAsia="Times New Roman" w:hAnsi="Arial" w:cs="Arial"/>
          <w:b/>
          <w:bCs/>
          <w:color w:val="666666"/>
          <w:sz w:val="20"/>
          <w:szCs w:val="20"/>
        </w:rPr>
      </w:pPr>
      <w:r w:rsidRPr="004E2070">
        <w:rPr>
          <w:rFonts w:ascii="Arial" w:eastAsia="Times New Roman" w:hAnsi="Arial" w:cs="Arial"/>
          <w:b/>
          <w:bCs/>
          <w:color w:val="666666"/>
          <w:sz w:val="20"/>
          <w:szCs w:val="20"/>
        </w:rPr>
        <w:t>Para gozar de la alícuota cero de los productos de la canasta básica, los contribuyentes categorizados como “microempresas” o “potenciales microempresas” alcanzados por el beneficio deben categorizarse en el “Sistema Registral” en “Registros Especiales”, opción “Características y Registros Especiales”, seleccionando la caracterización “438- Beneficio Decreto 567/19 - IVA Tasa 0”</w:t>
      </w:r>
    </w:p>
    <w:p w:rsidR="004E2070" w:rsidRPr="004E2070" w:rsidRDefault="004E2070" w:rsidP="004E2070">
      <w:pPr>
        <w:pStyle w:val="NormalWeb"/>
        <w:spacing w:before="0" w:beforeAutospacing="0" w:after="0" w:afterAutospacing="0"/>
        <w:jc w:val="both"/>
        <w:rPr>
          <w:rFonts w:ascii="Arial" w:hAnsi="Arial" w:cs="Arial"/>
          <w:b/>
          <w:bCs/>
          <w:caps/>
          <w:color w:val="002F5D"/>
          <w:sz w:val="21"/>
          <w:szCs w:val="21"/>
        </w:rPr>
      </w:pPr>
    </w:p>
    <w:p w:rsidR="004E2070" w:rsidRDefault="004E2070" w:rsidP="004E2070">
      <w:pPr>
        <w:pStyle w:val="Ttulo2"/>
        <w:shd w:val="clear" w:color="auto" w:fill="FDE9D9" w:themeFill="accent6" w:themeFillTint="33"/>
        <w:spacing w:before="0" w:line="570" w:lineRule="atLeast"/>
        <w:textAlignment w:val="baseline"/>
        <w:rPr>
          <w:rFonts w:ascii="Arial" w:eastAsiaTheme="minorHAnsi" w:hAnsi="Arial" w:cs="Arial"/>
          <w:caps/>
          <w:color w:val="002F5D"/>
          <w:sz w:val="21"/>
          <w:szCs w:val="21"/>
        </w:rPr>
      </w:pPr>
      <w:r w:rsidRPr="004E2070">
        <w:rPr>
          <w:rFonts w:ascii="Arial" w:eastAsiaTheme="minorHAnsi" w:hAnsi="Arial" w:cs="Arial"/>
          <w:caps/>
          <w:color w:val="002F5D"/>
          <w:sz w:val="21"/>
          <w:szCs w:val="21"/>
        </w:rPr>
        <w:t>Monotributistas</w:t>
      </w:r>
      <w:r>
        <w:rPr>
          <w:rFonts w:ascii="Arial" w:eastAsiaTheme="minorHAnsi" w:hAnsi="Arial" w:cs="Arial"/>
          <w:caps/>
          <w:color w:val="002F5D"/>
          <w:sz w:val="21"/>
          <w:szCs w:val="21"/>
        </w:rPr>
        <w:t xml:space="preserve"> - </w:t>
      </w:r>
      <w:hyperlink r:id="rId8" w:history="1">
        <w:r w:rsidRPr="004E2070">
          <w:rPr>
            <w:rFonts w:ascii="Arial" w:eastAsiaTheme="minorHAnsi" w:hAnsi="Arial"/>
            <w:caps/>
            <w:color w:val="002F5D"/>
            <w:sz w:val="21"/>
            <w:szCs w:val="21"/>
          </w:rPr>
          <w:t>Resoluci</w:t>
        </w:r>
        <w:r>
          <w:rPr>
            <w:rFonts w:ascii="Arial" w:eastAsiaTheme="minorHAnsi" w:hAnsi="Arial"/>
            <w:caps/>
            <w:color w:val="002F5D"/>
            <w:sz w:val="21"/>
            <w:szCs w:val="21"/>
          </w:rPr>
          <w:t>O</w:t>
        </w:r>
        <w:r w:rsidRPr="004E2070">
          <w:rPr>
            <w:rFonts w:ascii="Arial" w:eastAsiaTheme="minorHAnsi" w:hAnsi="Arial"/>
            <w:caps/>
            <w:color w:val="002F5D"/>
            <w:sz w:val="21"/>
            <w:szCs w:val="21"/>
          </w:rPr>
          <w:t>n</w:t>
        </w:r>
        <w:r>
          <w:rPr>
            <w:rFonts w:ascii="Arial" w:eastAsiaTheme="minorHAnsi" w:hAnsi="Arial"/>
            <w:caps/>
            <w:color w:val="002F5D"/>
            <w:sz w:val="21"/>
            <w:szCs w:val="21"/>
          </w:rPr>
          <w:t>ES</w:t>
        </w:r>
        <w:r w:rsidRPr="004E2070">
          <w:rPr>
            <w:rFonts w:ascii="Arial" w:eastAsiaTheme="minorHAnsi" w:hAnsi="Arial"/>
            <w:caps/>
            <w:color w:val="002F5D"/>
            <w:sz w:val="21"/>
            <w:szCs w:val="21"/>
          </w:rPr>
          <w:t xml:space="preserve"> General</w:t>
        </w:r>
        <w:r>
          <w:rPr>
            <w:rFonts w:ascii="Arial" w:eastAsiaTheme="minorHAnsi" w:hAnsi="Arial"/>
            <w:caps/>
            <w:color w:val="002F5D"/>
            <w:sz w:val="21"/>
            <w:szCs w:val="21"/>
          </w:rPr>
          <w:t>ES</w:t>
        </w:r>
        <w:r w:rsidRPr="004E2070">
          <w:rPr>
            <w:rFonts w:ascii="Arial" w:eastAsiaTheme="minorHAnsi" w:hAnsi="Arial"/>
            <w:caps/>
            <w:color w:val="002F5D"/>
            <w:sz w:val="21"/>
            <w:szCs w:val="21"/>
          </w:rPr>
          <w:t xml:space="preserve"> 4556/2019</w:t>
        </w:r>
      </w:hyperlink>
      <w:r w:rsidRPr="004E2070">
        <w:rPr>
          <w:rFonts w:ascii="Arial" w:eastAsiaTheme="minorHAnsi" w:hAnsi="Arial" w:cs="Arial"/>
          <w:caps/>
          <w:color w:val="002F5D"/>
          <w:sz w:val="21"/>
          <w:szCs w:val="21"/>
        </w:rPr>
        <w:t> </w:t>
      </w:r>
      <w:hyperlink r:id="rId9" w:history="1">
        <w:r>
          <w:rPr>
            <w:rFonts w:ascii="Arial" w:eastAsiaTheme="minorHAnsi" w:hAnsi="Arial" w:cs="Arial"/>
            <w:caps/>
            <w:color w:val="002F5D"/>
            <w:sz w:val="21"/>
            <w:szCs w:val="21"/>
          </w:rPr>
          <w:t>Y</w:t>
        </w:r>
        <w:r w:rsidRPr="004E2070">
          <w:rPr>
            <w:rFonts w:ascii="Arial" w:eastAsiaTheme="minorHAnsi" w:hAnsi="Arial"/>
            <w:caps/>
            <w:color w:val="002F5D"/>
            <w:sz w:val="21"/>
            <w:szCs w:val="21"/>
          </w:rPr>
          <w:t xml:space="preserve"> 4563/2019</w:t>
        </w:r>
      </w:hyperlink>
    </w:p>
    <w:p w:rsidR="004E2070" w:rsidRPr="004E2070" w:rsidRDefault="004E2070" w:rsidP="004E2070"/>
    <w:p w:rsidR="005516F1" w:rsidRDefault="004E2070" w:rsidP="004E2070">
      <w:pPr>
        <w:rPr>
          <w:rFonts w:ascii="Arial" w:hAnsi="Arial" w:cs="Arial"/>
          <w:b/>
          <w:bCs/>
          <w:caps/>
          <w:color w:val="002F5D"/>
          <w:sz w:val="21"/>
          <w:szCs w:val="21"/>
        </w:rPr>
      </w:pPr>
      <w:r w:rsidRPr="004E2070">
        <w:rPr>
          <w:rFonts w:ascii="Arial" w:hAnsi="Arial" w:cs="Arial"/>
          <w:b/>
          <w:bCs/>
          <w:caps/>
          <w:color w:val="002F5D"/>
          <w:sz w:val="21"/>
          <w:szCs w:val="21"/>
        </w:rPr>
        <w:t>Beneficio: bonificación del impuesto integrado correspondiente a septiembre de 2019</w:t>
      </w:r>
    </w:p>
    <w:p w:rsidR="004E2070" w:rsidRDefault="004E2070" w:rsidP="004E2070">
      <w:pPr>
        <w:rPr>
          <w:rFonts w:ascii="Arial" w:hAnsi="Arial" w:cs="Arial"/>
          <w:b/>
          <w:bCs/>
          <w:caps/>
          <w:color w:val="002F5D"/>
          <w:sz w:val="21"/>
          <w:szCs w:val="21"/>
        </w:rPr>
      </w:pPr>
    </w:p>
    <w:p w:rsidR="004E2070" w:rsidRPr="004E2070" w:rsidRDefault="004E2070" w:rsidP="004E2070">
      <w:pPr>
        <w:pStyle w:val="NormalWeb"/>
        <w:shd w:val="clear" w:color="auto" w:fill="FDE9D9" w:themeFill="accent6" w:themeFillTint="33"/>
        <w:spacing w:before="0" w:beforeAutospacing="0" w:after="0" w:afterAutospacing="0" w:line="330" w:lineRule="atLeast"/>
        <w:jc w:val="both"/>
        <w:textAlignment w:val="baseline"/>
        <w:rPr>
          <w:rFonts w:ascii="Arial" w:eastAsia="Times New Roman" w:hAnsi="Arial" w:cs="Arial"/>
          <w:b/>
          <w:bCs/>
          <w:color w:val="666666"/>
          <w:sz w:val="20"/>
          <w:szCs w:val="20"/>
        </w:rPr>
      </w:pPr>
      <w:r w:rsidRPr="004E2070">
        <w:rPr>
          <w:rFonts w:ascii="Arial" w:eastAsia="Times New Roman" w:hAnsi="Arial" w:cs="Arial"/>
          <w:b/>
          <w:bCs/>
          <w:color w:val="666666"/>
          <w:sz w:val="20"/>
          <w:szCs w:val="20"/>
        </w:rPr>
        <w:t>Los monotributistas que al 21 de agosto de 2019 tengan pagas las cuotas de </w:t>
      </w:r>
      <w:r w:rsidRPr="004E2070">
        <w:rPr>
          <w:rFonts w:ascii="Arial" w:eastAsia="Times New Roman" w:hAnsi="Arial" w:cs="Arial"/>
          <w:sz w:val="20"/>
          <w:szCs w:val="20"/>
        </w:rPr>
        <w:t>enero a agosto</w:t>
      </w:r>
      <w:r w:rsidRPr="004E2070">
        <w:rPr>
          <w:rFonts w:ascii="Arial" w:eastAsia="Times New Roman" w:hAnsi="Arial" w:cs="Arial"/>
          <w:b/>
          <w:bCs/>
          <w:color w:val="666666"/>
          <w:sz w:val="20"/>
          <w:szCs w:val="20"/>
        </w:rPr>
        <w:t> del corriente año, tendrán bonificado el impuesto integrado de septiembre de 2019 y sólo deberán abonar el componente previsional.</w:t>
      </w:r>
    </w:p>
    <w:p w:rsidR="004E2070" w:rsidRPr="004E2070" w:rsidRDefault="004E2070" w:rsidP="004E2070">
      <w:pPr>
        <w:pStyle w:val="NormalWeb"/>
        <w:shd w:val="clear" w:color="auto" w:fill="FDE9D9" w:themeFill="accent6" w:themeFillTint="33"/>
        <w:spacing w:before="0" w:beforeAutospacing="0" w:after="0" w:afterAutospacing="0" w:line="330" w:lineRule="atLeast"/>
        <w:jc w:val="both"/>
        <w:textAlignment w:val="baseline"/>
        <w:rPr>
          <w:rFonts w:ascii="Arial" w:eastAsia="Times New Roman" w:hAnsi="Arial" w:cs="Arial"/>
          <w:b/>
          <w:bCs/>
          <w:color w:val="666666"/>
          <w:sz w:val="20"/>
          <w:szCs w:val="20"/>
        </w:rPr>
      </w:pPr>
      <w:r w:rsidRPr="004E2070">
        <w:rPr>
          <w:rFonts w:ascii="Arial" w:eastAsia="Times New Roman" w:hAnsi="Arial" w:cs="Arial"/>
          <w:sz w:val="20"/>
          <w:szCs w:val="20"/>
        </w:rPr>
        <w:t>¿Cómo pagar las cuotas?</w:t>
      </w:r>
    </w:p>
    <w:p w:rsidR="004E2070" w:rsidRPr="004E2070" w:rsidRDefault="004E2070" w:rsidP="004E2070">
      <w:pPr>
        <w:pStyle w:val="NormalWeb"/>
        <w:shd w:val="clear" w:color="auto" w:fill="FDE9D9" w:themeFill="accent6" w:themeFillTint="33"/>
        <w:spacing w:before="0" w:beforeAutospacing="0" w:after="0" w:afterAutospacing="0" w:line="330" w:lineRule="atLeast"/>
        <w:jc w:val="both"/>
        <w:textAlignment w:val="baseline"/>
        <w:rPr>
          <w:rFonts w:ascii="Arial" w:eastAsia="Times New Roman" w:hAnsi="Arial" w:cs="Arial"/>
          <w:b/>
          <w:bCs/>
          <w:color w:val="666666"/>
          <w:sz w:val="20"/>
          <w:szCs w:val="20"/>
        </w:rPr>
      </w:pPr>
      <w:r w:rsidRPr="004E2070">
        <w:rPr>
          <w:rFonts w:ascii="Arial" w:eastAsia="Times New Roman" w:hAnsi="Arial" w:cs="Arial"/>
          <w:b/>
          <w:bCs/>
          <w:color w:val="666666"/>
          <w:sz w:val="20"/>
          <w:szCs w:val="20"/>
        </w:rPr>
        <w:t>Dentro del </w:t>
      </w:r>
      <w:hyperlink r:id="rId10" w:history="1">
        <w:r w:rsidRPr="004E2070">
          <w:rPr>
            <w:rFonts w:ascii="Arial" w:eastAsia="Times New Roman" w:hAnsi="Arial"/>
            <w:color w:val="666666"/>
            <w:sz w:val="20"/>
            <w:szCs w:val="20"/>
          </w:rPr>
          <w:t>Portal Monotributo</w:t>
        </w:r>
      </w:hyperlink>
      <w:r w:rsidRPr="004E2070">
        <w:rPr>
          <w:rFonts w:ascii="Arial" w:eastAsia="Times New Roman" w:hAnsi="Arial" w:cs="Arial"/>
          <w:b/>
          <w:bCs/>
          <w:color w:val="666666"/>
          <w:sz w:val="20"/>
          <w:szCs w:val="20"/>
        </w:rPr>
        <w:t> el beneficio se encontrará cargado en forma automática, por lo que sólo aparecerá el importe previsional a abonar.</w:t>
      </w:r>
    </w:p>
    <w:p w:rsidR="004E2070" w:rsidRPr="004E2070" w:rsidRDefault="004E2070" w:rsidP="004E2070">
      <w:pPr>
        <w:pStyle w:val="NormalWeb"/>
        <w:shd w:val="clear" w:color="auto" w:fill="FDE9D9" w:themeFill="accent6" w:themeFillTint="33"/>
        <w:spacing w:before="0" w:beforeAutospacing="0" w:after="225" w:afterAutospacing="0" w:line="330" w:lineRule="atLeast"/>
        <w:jc w:val="both"/>
        <w:textAlignment w:val="baseline"/>
        <w:rPr>
          <w:rFonts w:ascii="Arial" w:eastAsia="Times New Roman" w:hAnsi="Arial" w:cs="Arial"/>
          <w:b/>
          <w:bCs/>
          <w:color w:val="666666"/>
          <w:sz w:val="20"/>
          <w:szCs w:val="20"/>
        </w:rPr>
      </w:pPr>
      <w:r w:rsidRPr="004E2070">
        <w:rPr>
          <w:rFonts w:ascii="Arial" w:eastAsia="Times New Roman" w:hAnsi="Arial" w:cs="Arial"/>
          <w:b/>
          <w:bCs/>
          <w:color w:val="666666"/>
          <w:sz w:val="20"/>
          <w:szCs w:val="20"/>
        </w:rPr>
        <w:t>Quienes abonen en forma presencial en entidades, deberán indicarle al cajero que no les corresponde el componente impositivo (Impuesto 20), para que detalle $0 (cero pesos) en dicho concepto.</w:t>
      </w:r>
    </w:p>
    <w:p w:rsidR="004E2070" w:rsidRPr="004E2070" w:rsidRDefault="004E2070" w:rsidP="004E2070">
      <w:pPr>
        <w:pStyle w:val="NormalWeb"/>
        <w:shd w:val="clear" w:color="auto" w:fill="FDE9D9" w:themeFill="accent6" w:themeFillTint="33"/>
        <w:spacing w:before="0" w:beforeAutospacing="0" w:after="0" w:afterAutospacing="0" w:line="330" w:lineRule="atLeast"/>
        <w:jc w:val="both"/>
        <w:textAlignment w:val="baseline"/>
        <w:rPr>
          <w:rFonts w:ascii="Arial" w:eastAsia="Times New Roman" w:hAnsi="Arial" w:cs="Arial"/>
          <w:b/>
          <w:bCs/>
          <w:color w:val="666666"/>
          <w:sz w:val="20"/>
          <w:szCs w:val="20"/>
        </w:rPr>
      </w:pPr>
      <w:r w:rsidRPr="004E2070">
        <w:rPr>
          <w:rFonts w:ascii="Arial" w:eastAsia="Times New Roman" w:hAnsi="Arial" w:cs="Arial"/>
          <w:b/>
          <w:bCs/>
          <w:color w:val="666666"/>
          <w:sz w:val="20"/>
          <w:szCs w:val="20"/>
        </w:rPr>
        <w:t>En caso que la entidad no tenga habilitado en su sistema de cobro la posibilidad de consignar importe $0 (cero pesos) en el componente impositivo, el monotributista podrá utilizar el </w:t>
      </w:r>
      <w:hyperlink r:id="rId11" w:history="1">
        <w:r w:rsidRPr="004E2070">
          <w:rPr>
            <w:rFonts w:ascii="Arial" w:eastAsia="Times New Roman" w:hAnsi="Arial"/>
            <w:color w:val="666666"/>
            <w:sz w:val="20"/>
            <w:szCs w:val="20"/>
          </w:rPr>
          <w:t>volante de pago formulario F. 155</w:t>
        </w:r>
      </w:hyperlink>
      <w:r w:rsidRPr="004E2070">
        <w:rPr>
          <w:rFonts w:ascii="Arial" w:eastAsia="Times New Roman" w:hAnsi="Arial" w:cs="Arial"/>
          <w:b/>
          <w:bCs/>
          <w:color w:val="666666"/>
          <w:sz w:val="20"/>
          <w:szCs w:val="20"/>
        </w:rPr>
        <w:t> –uno por cada cuota-, indicando sólo los importes previsionales correspondientes.</w:t>
      </w:r>
    </w:p>
    <w:p w:rsidR="004E2070" w:rsidRPr="004E2070" w:rsidRDefault="004E2070" w:rsidP="004E2070">
      <w:pPr>
        <w:pStyle w:val="NormalWeb"/>
        <w:shd w:val="clear" w:color="auto" w:fill="FDE9D9" w:themeFill="accent6" w:themeFillTint="33"/>
        <w:spacing w:before="0" w:beforeAutospacing="0" w:after="225" w:afterAutospacing="0" w:line="330" w:lineRule="atLeast"/>
        <w:jc w:val="both"/>
        <w:textAlignment w:val="baseline"/>
        <w:rPr>
          <w:rFonts w:ascii="Arial" w:eastAsia="Times New Roman" w:hAnsi="Arial" w:cs="Arial"/>
          <w:b/>
          <w:bCs/>
          <w:color w:val="666666"/>
          <w:sz w:val="20"/>
          <w:szCs w:val="20"/>
        </w:rPr>
      </w:pPr>
      <w:r w:rsidRPr="004E2070">
        <w:rPr>
          <w:rFonts w:ascii="Arial" w:eastAsia="Times New Roman" w:hAnsi="Arial" w:cs="Arial"/>
          <w:b/>
          <w:bCs/>
          <w:color w:val="666666"/>
          <w:sz w:val="20"/>
          <w:szCs w:val="20"/>
        </w:rPr>
        <w:lastRenderedPageBreak/>
        <w:t>Los monotributistas de las Provincias de Córdoba, Mendoza o San Juan también deberán indicar el importe fijo mensual correspondiente al Régimen Simplificado del Impuesto sobre los Ingresos Brutos. Para esto, tendrán que consignar las relaciones Impuesto-Concepto-Subconcepto que se detallan a continuación, según corresponda:</w:t>
      </w:r>
    </w:p>
    <w:p w:rsidR="004E2070" w:rsidRPr="004E2070" w:rsidRDefault="004E2070" w:rsidP="004E2070">
      <w:pPr>
        <w:numPr>
          <w:ilvl w:val="0"/>
          <w:numId w:val="25"/>
        </w:numPr>
        <w:spacing w:line="330" w:lineRule="atLeast"/>
        <w:ind w:left="0"/>
        <w:textAlignment w:val="top"/>
        <w:rPr>
          <w:rFonts w:ascii="Arial" w:eastAsia="Times New Roman" w:hAnsi="Arial" w:cs="Arial"/>
          <w:b/>
          <w:bCs/>
          <w:color w:val="666666"/>
          <w:sz w:val="20"/>
          <w:szCs w:val="20"/>
        </w:rPr>
      </w:pPr>
      <w:r w:rsidRPr="004E2070">
        <w:rPr>
          <w:rFonts w:ascii="Arial" w:eastAsia="Times New Roman" w:hAnsi="Arial" w:cs="Arial"/>
          <w:b/>
          <w:bCs/>
          <w:color w:val="666666"/>
          <w:sz w:val="20"/>
          <w:szCs w:val="20"/>
        </w:rPr>
        <w:t>Componente Previsional SIPA: 21-019-078.</w:t>
      </w:r>
    </w:p>
    <w:p w:rsidR="004E2070" w:rsidRPr="004E2070" w:rsidRDefault="004E2070" w:rsidP="004E2070">
      <w:pPr>
        <w:numPr>
          <w:ilvl w:val="0"/>
          <w:numId w:val="25"/>
        </w:numPr>
        <w:spacing w:line="330" w:lineRule="atLeast"/>
        <w:ind w:left="0"/>
        <w:textAlignment w:val="top"/>
        <w:rPr>
          <w:rFonts w:ascii="Arial" w:eastAsia="Times New Roman" w:hAnsi="Arial" w:cs="Arial"/>
          <w:b/>
          <w:bCs/>
          <w:color w:val="666666"/>
          <w:sz w:val="20"/>
          <w:szCs w:val="20"/>
        </w:rPr>
      </w:pPr>
      <w:r w:rsidRPr="004E2070">
        <w:rPr>
          <w:rFonts w:ascii="Arial" w:eastAsia="Times New Roman" w:hAnsi="Arial" w:cs="Arial"/>
          <w:b/>
          <w:bCs/>
          <w:color w:val="666666"/>
          <w:sz w:val="20"/>
          <w:szCs w:val="20"/>
        </w:rPr>
        <w:t>Componente Obra Social: 24-019-078.</w:t>
      </w:r>
    </w:p>
    <w:p w:rsidR="004E2070" w:rsidRPr="004E2070" w:rsidRDefault="004E2070" w:rsidP="004E2070">
      <w:pPr>
        <w:numPr>
          <w:ilvl w:val="0"/>
          <w:numId w:val="25"/>
        </w:numPr>
        <w:spacing w:line="330" w:lineRule="atLeast"/>
        <w:ind w:left="0"/>
        <w:textAlignment w:val="top"/>
        <w:rPr>
          <w:rFonts w:ascii="Arial" w:eastAsia="Times New Roman" w:hAnsi="Arial" w:cs="Arial"/>
          <w:b/>
          <w:bCs/>
          <w:color w:val="666666"/>
          <w:sz w:val="20"/>
          <w:szCs w:val="20"/>
        </w:rPr>
      </w:pPr>
      <w:r w:rsidRPr="004E2070">
        <w:rPr>
          <w:rFonts w:ascii="Arial" w:eastAsia="Times New Roman" w:hAnsi="Arial" w:cs="Arial"/>
          <w:b/>
          <w:bCs/>
          <w:color w:val="666666"/>
          <w:sz w:val="20"/>
          <w:szCs w:val="20"/>
        </w:rPr>
        <w:t>Componente provincial Córdoba: 5243-019-078</w:t>
      </w:r>
    </w:p>
    <w:p w:rsidR="004E2070" w:rsidRPr="004E2070" w:rsidRDefault="004E2070" w:rsidP="004E2070">
      <w:pPr>
        <w:numPr>
          <w:ilvl w:val="0"/>
          <w:numId w:val="25"/>
        </w:numPr>
        <w:spacing w:line="330" w:lineRule="atLeast"/>
        <w:ind w:left="0"/>
        <w:textAlignment w:val="top"/>
        <w:rPr>
          <w:rFonts w:ascii="Arial" w:eastAsia="Times New Roman" w:hAnsi="Arial" w:cs="Arial"/>
          <w:b/>
          <w:bCs/>
          <w:color w:val="666666"/>
          <w:sz w:val="20"/>
          <w:szCs w:val="20"/>
        </w:rPr>
      </w:pPr>
      <w:r w:rsidRPr="004E2070">
        <w:rPr>
          <w:rFonts w:ascii="Arial" w:eastAsia="Times New Roman" w:hAnsi="Arial" w:cs="Arial"/>
          <w:b/>
          <w:bCs/>
          <w:color w:val="666666"/>
          <w:sz w:val="20"/>
          <w:szCs w:val="20"/>
        </w:rPr>
        <w:t>Componente municipal Córdoba: 5244-019-078</w:t>
      </w:r>
    </w:p>
    <w:p w:rsidR="004E2070" w:rsidRPr="004E2070" w:rsidRDefault="004E2070" w:rsidP="004E2070">
      <w:pPr>
        <w:numPr>
          <w:ilvl w:val="0"/>
          <w:numId w:val="25"/>
        </w:numPr>
        <w:spacing w:line="330" w:lineRule="atLeast"/>
        <w:ind w:left="0"/>
        <w:textAlignment w:val="top"/>
        <w:rPr>
          <w:rFonts w:ascii="Arial" w:eastAsia="Times New Roman" w:hAnsi="Arial" w:cs="Arial"/>
          <w:b/>
          <w:bCs/>
          <w:color w:val="666666"/>
          <w:sz w:val="20"/>
          <w:szCs w:val="20"/>
        </w:rPr>
      </w:pPr>
      <w:r w:rsidRPr="004E2070">
        <w:rPr>
          <w:rFonts w:ascii="Arial" w:eastAsia="Times New Roman" w:hAnsi="Arial" w:cs="Arial"/>
          <w:b/>
          <w:bCs/>
          <w:color w:val="666666"/>
          <w:sz w:val="20"/>
          <w:szCs w:val="20"/>
        </w:rPr>
        <w:t>Componente provincial Mendoza: 5445-019-078</w:t>
      </w:r>
    </w:p>
    <w:p w:rsidR="004E2070" w:rsidRPr="004E2070" w:rsidRDefault="004E2070" w:rsidP="004E2070">
      <w:pPr>
        <w:numPr>
          <w:ilvl w:val="0"/>
          <w:numId w:val="25"/>
        </w:numPr>
        <w:spacing w:line="330" w:lineRule="atLeast"/>
        <w:ind w:left="0"/>
        <w:textAlignment w:val="top"/>
        <w:rPr>
          <w:rFonts w:ascii="Arial" w:eastAsia="Times New Roman" w:hAnsi="Arial" w:cs="Arial"/>
          <w:b/>
          <w:bCs/>
          <w:color w:val="666666"/>
          <w:sz w:val="20"/>
          <w:szCs w:val="20"/>
        </w:rPr>
      </w:pPr>
      <w:r w:rsidRPr="004E2070">
        <w:rPr>
          <w:rFonts w:ascii="Arial" w:eastAsia="Times New Roman" w:hAnsi="Arial" w:cs="Arial"/>
          <w:b/>
          <w:bCs/>
          <w:color w:val="666666"/>
          <w:sz w:val="20"/>
          <w:szCs w:val="20"/>
        </w:rPr>
        <w:t>Componente municipal Mendoza: 5446-019-078</w:t>
      </w:r>
    </w:p>
    <w:p w:rsidR="004E2070" w:rsidRPr="004E2070" w:rsidRDefault="004E2070" w:rsidP="004E2070">
      <w:pPr>
        <w:numPr>
          <w:ilvl w:val="0"/>
          <w:numId w:val="25"/>
        </w:numPr>
        <w:spacing w:line="330" w:lineRule="atLeast"/>
        <w:ind w:left="0"/>
        <w:textAlignment w:val="top"/>
        <w:rPr>
          <w:rFonts w:ascii="Arial" w:eastAsia="Times New Roman" w:hAnsi="Arial" w:cs="Arial"/>
          <w:b/>
          <w:bCs/>
          <w:color w:val="666666"/>
          <w:sz w:val="20"/>
          <w:szCs w:val="20"/>
        </w:rPr>
      </w:pPr>
      <w:r w:rsidRPr="004E2070">
        <w:rPr>
          <w:rFonts w:ascii="Arial" w:eastAsia="Times New Roman" w:hAnsi="Arial" w:cs="Arial"/>
          <w:b/>
          <w:bCs/>
          <w:color w:val="666666"/>
          <w:sz w:val="20"/>
          <w:szCs w:val="20"/>
        </w:rPr>
        <w:t>Componente provincial San Juan: 5556-019-078</w:t>
      </w:r>
    </w:p>
    <w:p w:rsidR="004E2070" w:rsidRPr="004E2070" w:rsidRDefault="004E2070" w:rsidP="004E2070">
      <w:pPr>
        <w:numPr>
          <w:ilvl w:val="0"/>
          <w:numId w:val="25"/>
        </w:numPr>
        <w:spacing w:line="330" w:lineRule="atLeast"/>
        <w:ind w:left="0"/>
        <w:textAlignment w:val="top"/>
        <w:rPr>
          <w:rFonts w:ascii="Arial" w:eastAsia="Times New Roman" w:hAnsi="Arial" w:cs="Arial"/>
          <w:b/>
          <w:bCs/>
          <w:color w:val="666666"/>
          <w:sz w:val="20"/>
          <w:szCs w:val="20"/>
        </w:rPr>
      </w:pPr>
      <w:r w:rsidRPr="004E2070">
        <w:rPr>
          <w:rFonts w:ascii="Arial" w:eastAsia="Times New Roman" w:hAnsi="Arial" w:cs="Arial"/>
          <w:b/>
          <w:bCs/>
          <w:color w:val="666666"/>
          <w:sz w:val="20"/>
          <w:szCs w:val="20"/>
        </w:rPr>
        <w:t>Componente municipal San Juan: 5557-019-078</w:t>
      </w:r>
    </w:p>
    <w:p w:rsidR="004E2070" w:rsidRPr="004E2070" w:rsidRDefault="004E2070" w:rsidP="004E2070">
      <w:pPr>
        <w:numPr>
          <w:ilvl w:val="0"/>
          <w:numId w:val="25"/>
        </w:numPr>
        <w:spacing w:line="330" w:lineRule="atLeast"/>
        <w:ind w:left="0"/>
        <w:textAlignment w:val="top"/>
        <w:rPr>
          <w:rFonts w:ascii="Arial" w:eastAsia="Times New Roman" w:hAnsi="Arial" w:cs="Arial"/>
          <w:b/>
          <w:bCs/>
          <w:color w:val="666666"/>
          <w:sz w:val="20"/>
          <w:szCs w:val="20"/>
        </w:rPr>
      </w:pPr>
      <w:r w:rsidRPr="004E2070">
        <w:rPr>
          <w:rFonts w:ascii="Arial" w:eastAsia="Times New Roman" w:hAnsi="Arial" w:cs="Arial"/>
          <w:b/>
          <w:bCs/>
          <w:color w:val="666666"/>
          <w:sz w:val="20"/>
          <w:szCs w:val="20"/>
        </w:rPr>
        <w:t>Componente provincial Jujuy: 5578-019-078</w:t>
      </w:r>
    </w:p>
    <w:p w:rsidR="004E2070" w:rsidRDefault="004E2070" w:rsidP="004E2070">
      <w:pPr>
        <w:numPr>
          <w:ilvl w:val="0"/>
          <w:numId w:val="25"/>
        </w:numPr>
        <w:spacing w:line="330" w:lineRule="atLeast"/>
        <w:ind w:left="0"/>
        <w:textAlignment w:val="top"/>
        <w:rPr>
          <w:rFonts w:ascii="Arial" w:eastAsia="Times New Roman" w:hAnsi="Arial" w:cs="Arial"/>
          <w:b/>
          <w:bCs/>
          <w:color w:val="666666"/>
          <w:sz w:val="20"/>
          <w:szCs w:val="20"/>
        </w:rPr>
      </w:pPr>
      <w:r w:rsidRPr="004E2070">
        <w:rPr>
          <w:rFonts w:ascii="Arial" w:eastAsia="Times New Roman" w:hAnsi="Arial" w:cs="Arial"/>
          <w:b/>
          <w:bCs/>
          <w:color w:val="666666"/>
          <w:sz w:val="20"/>
          <w:szCs w:val="20"/>
        </w:rPr>
        <w:t>Componente municipal Jujuy: 5579-019-078</w:t>
      </w:r>
    </w:p>
    <w:p w:rsidR="004E2070" w:rsidRDefault="004E2070" w:rsidP="004E2070">
      <w:pPr>
        <w:spacing w:line="330" w:lineRule="atLeast"/>
        <w:textAlignment w:val="top"/>
        <w:rPr>
          <w:rFonts w:ascii="Arial" w:eastAsia="Times New Roman" w:hAnsi="Arial" w:cs="Arial"/>
          <w:b/>
          <w:bCs/>
          <w:color w:val="666666"/>
          <w:sz w:val="20"/>
          <w:szCs w:val="20"/>
        </w:rPr>
      </w:pPr>
    </w:p>
    <w:p w:rsidR="004E2070" w:rsidRPr="004E2070" w:rsidRDefault="004E2070" w:rsidP="004E2070">
      <w:pPr>
        <w:spacing w:line="330" w:lineRule="atLeast"/>
        <w:textAlignment w:val="top"/>
        <w:rPr>
          <w:rFonts w:ascii="Arial" w:eastAsia="Times New Roman" w:hAnsi="Arial" w:cs="Arial"/>
          <w:b/>
          <w:bCs/>
          <w:color w:val="666666"/>
          <w:sz w:val="20"/>
          <w:szCs w:val="20"/>
        </w:rPr>
      </w:pPr>
    </w:p>
    <w:p w:rsidR="00CE400C" w:rsidRPr="00CE400C" w:rsidRDefault="00CE400C" w:rsidP="00CE400C"/>
    <w:p w:rsidR="00CE400C" w:rsidRPr="00CE400C" w:rsidRDefault="00CE400C" w:rsidP="00CE400C">
      <w:pPr>
        <w:pStyle w:val="NormalWeb"/>
        <w:spacing w:before="0" w:beforeAutospacing="0" w:after="0" w:afterAutospacing="0"/>
        <w:jc w:val="center"/>
        <w:rPr>
          <w:rFonts w:ascii="Arial" w:hAnsi="Arial" w:cs="Arial"/>
          <w:b/>
          <w:bCs/>
          <w:caps/>
          <w:color w:val="7E4F6F"/>
          <w:sz w:val="28"/>
          <w:szCs w:val="28"/>
        </w:rPr>
      </w:pPr>
      <w:r w:rsidRPr="00CE400C">
        <w:rPr>
          <w:rFonts w:ascii="Arial" w:hAnsi="Arial" w:cs="Arial"/>
          <w:b/>
          <w:bCs/>
          <w:caps/>
          <w:color w:val="7E4F6F"/>
          <w:sz w:val="28"/>
          <w:szCs w:val="28"/>
        </w:rPr>
        <w:t>LABORALES - PREVISIONALES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CE400C" w:rsidRDefault="00CE400C" w:rsidP="00CE400C">
      <w:pPr>
        <w:jc w:val="center"/>
        <w:rPr>
          <w:rFonts w:ascii="Arial" w:eastAsia="Times New Roman" w:hAnsi="Arial" w:cs="Arial"/>
          <w:color w:val="666666"/>
          <w:sz w:val="17"/>
          <w:szCs w:val="17"/>
        </w:rPr>
      </w:pPr>
    </w:p>
    <w:p w:rsidR="007F74B0" w:rsidRPr="007F74B0" w:rsidRDefault="00484F8D" w:rsidP="007F74B0">
      <w:pPr>
        <w:pStyle w:val="NormalWeb"/>
        <w:spacing w:before="0" w:beforeAutospacing="0" w:after="0" w:afterAutospacing="0"/>
        <w:jc w:val="both"/>
        <w:rPr>
          <w:rFonts w:ascii="Arial" w:hAnsi="Arial" w:cs="Arial"/>
          <w:b/>
          <w:bCs/>
          <w:caps/>
          <w:color w:val="7E4F6F"/>
          <w:sz w:val="22"/>
          <w:szCs w:val="22"/>
        </w:rPr>
      </w:pPr>
      <w:r w:rsidRPr="007F74B0">
        <w:rPr>
          <w:rFonts w:ascii="Arial" w:hAnsi="Arial" w:cs="Arial"/>
          <w:b/>
          <w:bCs/>
          <w:caps/>
          <w:color w:val="7E4F6F"/>
          <w:sz w:val="22"/>
          <w:szCs w:val="22"/>
        </w:rPr>
        <w:t xml:space="preserve">Empleados de comercio </w:t>
      </w:r>
      <w:r w:rsidR="007F74B0" w:rsidRPr="007F74B0">
        <w:rPr>
          <w:rFonts w:ascii="Arial" w:hAnsi="Arial" w:cs="Arial"/>
          <w:b/>
          <w:bCs/>
          <w:caps/>
          <w:color w:val="7E4F6F"/>
          <w:sz w:val="22"/>
          <w:szCs w:val="22"/>
        </w:rPr>
        <w:t>- DÍA DEL GREMIO 2019. TRASLADO</w:t>
      </w:r>
    </w:p>
    <w:p w:rsidR="005516F1" w:rsidRDefault="005516F1" w:rsidP="005516F1">
      <w:pPr>
        <w:spacing w:line="360" w:lineRule="auto"/>
        <w:jc w:val="both"/>
        <w:rPr>
          <w:rFonts w:ascii="Arial" w:hAnsi="Arial" w:cs="Arial"/>
          <w:b/>
          <w:bCs/>
          <w:caps/>
          <w:color w:val="7E4F6F"/>
          <w:sz w:val="21"/>
          <w:szCs w:val="21"/>
        </w:rPr>
      </w:pPr>
    </w:p>
    <w:p w:rsidR="007F74B0" w:rsidRDefault="007F74B0" w:rsidP="005516F1">
      <w:pPr>
        <w:spacing w:line="360" w:lineRule="auto"/>
        <w:jc w:val="both"/>
        <w:rPr>
          <w:rFonts w:ascii="Arial" w:eastAsia="Times New Roman" w:hAnsi="Arial" w:cs="Arial"/>
          <w:b/>
          <w:bCs/>
          <w:color w:val="666666"/>
          <w:sz w:val="20"/>
          <w:szCs w:val="20"/>
        </w:rPr>
      </w:pPr>
      <w:r w:rsidRPr="007F74B0">
        <w:rPr>
          <w:rFonts w:ascii="Arial" w:eastAsia="Times New Roman" w:hAnsi="Arial" w:cs="Arial"/>
          <w:b/>
          <w:bCs/>
          <w:color w:val="666666"/>
          <w:sz w:val="20"/>
          <w:szCs w:val="20"/>
        </w:rPr>
        <w:t xml:space="preserve">Los empleados de la actividad mercantil acordaron trasladar la celebración del día del gremio al 23 de setiembre de 2019. </w:t>
      </w:r>
    </w:p>
    <w:p w:rsidR="007F74B0" w:rsidRPr="007F74B0" w:rsidRDefault="007F74B0" w:rsidP="005516F1">
      <w:pPr>
        <w:spacing w:line="360" w:lineRule="auto"/>
        <w:jc w:val="both"/>
        <w:rPr>
          <w:rFonts w:ascii="Arial" w:eastAsia="Times New Roman" w:hAnsi="Arial" w:cs="Arial"/>
          <w:b/>
          <w:bCs/>
          <w:color w:val="666666"/>
          <w:sz w:val="20"/>
          <w:szCs w:val="20"/>
        </w:rPr>
      </w:pPr>
      <w:r w:rsidRPr="007F74B0">
        <w:rPr>
          <w:rFonts w:ascii="Arial" w:eastAsia="Times New Roman" w:hAnsi="Arial" w:cs="Arial"/>
          <w:b/>
          <w:bCs/>
          <w:color w:val="666666"/>
          <w:sz w:val="20"/>
          <w:szCs w:val="20"/>
        </w:rPr>
        <w:t>El mencionado Acuerdo se encuentra, a la fecha, pendiente de homologación</w:t>
      </w:r>
    </w:p>
    <w:p w:rsidR="005516F1" w:rsidRDefault="005516F1" w:rsidP="005516F1">
      <w:pPr>
        <w:pStyle w:val="NormalWeb"/>
        <w:spacing w:before="0" w:beforeAutospacing="0" w:after="0" w:afterAutospacing="0" w:line="360" w:lineRule="auto"/>
        <w:jc w:val="both"/>
        <w:rPr>
          <w:rFonts w:ascii="Arial" w:eastAsia="Times New Roman" w:hAnsi="Arial" w:cs="Arial"/>
          <w:color w:val="666666"/>
          <w:sz w:val="16"/>
          <w:szCs w:val="16"/>
        </w:rPr>
      </w:pPr>
    </w:p>
    <w:p w:rsidR="00E554AC" w:rsidRPr="007F74B0" w:rsidRDefault="007F74B0" w:rsidP="007F74B0">
      <w:pPr>
        <w:pStyle w:val="NormalWeb"/>
        <w:spacing w:before="0" w:beforeAutospacing="0" w:after="0" w:afterAutospacing="0"/>
        <w:jc w:val="both"/>
        <w:rPr>
          <w:rFonts w:ascii="Arial" w:hAnsi="Arial" w:cs="Arial"/>
          <w:b/>
          <w:bCs/>
          <w:caps/>
          <w:color w:val="7E4F6F"/>
          <w:sz w:val="22"/>
          <w:szCs w:val="22"/>
        </w:rPr>
      </w:pPr>
      <w:r w:rsidRPr="007F74B0">
        <w:rPr>
          <w:rFonts w:ascii="Arial" w:hAnsi="Arial" w:cs="Arial"/>
          <w:b/>
          <w:bCs/>
          <w:caps/>
          <w:color w:val="7E4F6F"/>
          <w:sz w:val="22"/>
          <w:szCs w:val="22"/>
        </w:rPr>
        <w:t>Descuento en los aportes previsionales</w:t>
      </w:r>
    </w:p>
    <w:p w:rsidR="007F74B0" w:rsidRPr="007F74B0" w:rsidRDefault="007F74B0" w:rsidP="007F74B0">
      <w:pPr>
        <w:pStyle w:val="NormalWeb"/>
        <w:spacing w:before="0" w:beforeAutospacing="0" w:after="0" w:afterAutospacing="0"/>
        <w:jc w:val="both"/>
        <w:rPr>
          <w:rFonts w:ascii="Arial" w:hAnsi="Arial" w:cs="Arial"/>
          <w:b/>
          <w:bCs/>
          <w:caps/>
          <w:color w:val="7E4F6F"/>
          <w:sz w:val="20"/>
          <w:szCs w:val="20"/>
        </w:rPr>
      </w:pPr>
      <w:r w:rsidRPr="007F74B0">
        <w:rPr>
          <w:rFonts w:ascii="Arial" w:hAnsi="Arial" w:cs="Arial"/>
          <w:b/>
          <w:bCs/>
          <w:caps/>
          <w:color w:val="7E4F6F"/>
          <w:sz w:val="20"/>
          <w:szCs w:val="20"/>
        </w:rPr>
        <w:t>Aplicación en "Declaración en Línea"</w:t>
      </w:r>
    </w:p>
    <w:p w:rsidR="007F74B0" w:rsidRDefault="007F74B0" w:rsidP="007F74B0">
      <w:pPr>
        <w:pStyle w:val="NormalWeb"/>
        <w:spacing w:before="0" w:beforeAutospacing="0" w:after="0" w:afterAutospacing="0"/>
        <w:jc w:val="both"/>
        <w:rPr>
          <w:rFonts w:ascii="Arial" w:hAnsi="Arial" w:cs="Arial"/>
          <w:b/>
          <w:bCs/>
          <w:caps/>
          <w:color w:val="7E4F6F"/>
          <w:sz w:val="21"/>
          <w:szCs w:val="21"/>
        </w:rPr>
      </w:pPr>
    </w:p>
    <w:p w:rsidR="007F74B0" w:rsidRDefault="007F74B0" w:rsidP="005516F1">
      <w:pPr>
        <w:pStyle w:val="NormalWeb"/>
        <w:spacing w:before="0" w:beforeAutospacing="0" w:after="0" w:afterAutospacing="0" w:line="360" w:lineRule="auto"/>
        <w:jc w:val="both"/>
        <w:rPr>
          <w:rFonts w:ascii="Arial" w:eastAsia="Times New Roman" w:hAnsi="Arial" w:cs="Arial"/>
          <w:b/>
          <w:bCs/>
          <w:color w:val="666666"/>
          <w:sz w:val="20"/>
          <w:szCs w:val="20"/>
        </w:rPr>
      </w:pPr>
      <w:r w:rsidRPr="007F74B0">
        <w:rPr>
          <w:rFonts w:ascii="Arial" w:eastAsia="Times New Roman" w:hAnsi="Arial" w:cs="Arial"/>
          <w:b/>
          <w:bCs/>
          <w:color w:val="666666"/>
          <w:sz w:val="20"/>
          <w:szCs w:val="20"/>
        </w:rPr>
        <w:t xml:space="preserve">Para aplicar el descuento del decreto 561/2019 sobre los aportes del trabajador con destino al régimen jubilatorio, en el formulario 931 se deberá exponer, en el campo </w:t>
      </w:r>
      <w:hyperlink r:id="rId12" w:history="1">
        <w:r w:rsidRPr="007F74B0">
          <w:rPr>
            <w:b/>
            <w:bCs/>
            <w:color w:val="666666"/>
          </w:rPr>
          <w:t xml:space="preserve">“Ajuste Aporte </w:t>
        </w:r>
        <w:proofErr w:type="spellStart"/>
        <w:r w:rsidRPr="007F74B0">
          <w:rPr>
            <w:b/>
            <w:bCs/>
            <w:color w:val="666666"/>
          </w:rPr>
          <w:t>Dec</w:t>
        </w:r>
        <w:proofErr w:type="spellEnd"/>
        <w:r w:rsidRPr="007F74B0">
          <w:rPr>
            <w:b/>
            <w:bCs/>
            <w:color w:val="666666"/>
          </w:rPr>
          <w:t>. 561/2019”</w:t>
        </w:r>
      </w:hyperlink>
      <w:r w:rsidRPr="007F74B0">
        <w:rPr>
          <w:rFonts w:ascii="Arial" w:eastAsia="Times New Roman" w:hAnsi="Arial" w:cs="Arial"/>
          <w:b/>
          <w:bCs/>
          <w:color w:val="666666"/>
          <w:sz w:val="20"/>
          <w:szCs w:val="20"/>
        </w:rPr>
        <w:t>, dentro de los datos adicionales de seguridad social, el monto a descontar que corresponda, con un tope de $ 2.000</w:t>
      </w:r>
      <w:r>
        <w:rPr>
          <w:rFonts w:ascii="Arial" w:eastAsia="Times New Roman" w:hAnsi="Arial" w:cs="Arial"/>
          <w:b/>
          <w:bCs/>
          <w:color w:val="666666"/>
          <w:sz w:val="20"/>
          <w:szCs w:val="20"/>
        </w:rPr>
        <w:t>.</w:t>
      </w:r>
    </w:p>
    <w:p w:rsidR="007F74B0" w:rsidRDefault="007F74B0" w:rsidP="005516F1">
      <w:pPr>
        <w:pStyle w:val="NormalWeb"/>
        <w:spacing w:before="0" w:beforeAutospacing="0" w:after="0" w:afterAutospacing="0" w:line="360" w:lineRule="auto"/>
        <w:jc w:val="both"/>
        <w:rPr>
          <w:rFonts w:ascii="Arial" w:eastAsia="Times New Roman" w:hAnsi="Arial" w:cs="Arial"/>
          <w:b/>
          <w:bCs/>
          <w:color w:val="666666"/>
          <w:sz w:val="20"/>
          <w:szCs w:val="20"/>
        </w:rPr>
      </w:pPr>
    </w:p>
    <w:p w:rsidR="007F74B0" w:rsidRDefault="007F74B0" w:rsidP="007F74B0">
      <w:pPr>
        <w:pStyle w:val="NormalWeb"/>
        <w:spacing w:before="0" w:beforeAutospacing="0" w:after="0" w:afterAutospacing="0"/>
        <w:jc w:val="both"/>
        <w:rPr>
          <w:rFonts w:ascii="Arial" w:hAnsi="Arial" w:cs="Arial"/>
          <w:b/>
          <w:bCs/>
          <w:caps/>
          <w:color w:val="7E4F6F"/>
          <w:sz w:val="22"/>
          <w:szCs w:val="22"/>
        </w:rPr>
      </w:pPr>
      <w:r w:rsidRPr="007F74B0">
        <w:rPr>
          <w:rFonts w:ascii="Arial" w:hAnsi="Arial" w:cs="Arial"/>
          <w:b/>
          <w:bCs/>
          <w:caps/>
          <w:color w:val="7E4F6F"/>
          <w:sz w:val="22"/>
          <w:szCs w:val="22"/>
        </w:rPr>
        <w:t>Aumento del salario mínimo, vital y móvil</w:t>
      </w:r>
    </w:p>
    <w:p w:rsidR="007F74B0" w:rsidRPr="007F74B0" w:rsidRDefault="007F74B0" w:rsidP="007F74B0">
      <w:pPr>
        <w:pStyle w:val="NormalWeb"/>
        <w:spacing w:before="0" w:beforeAutospacing="0" w:after="0" w:afterAutospacing="0"/>
        <w:jc w:val="both"/>
        <w:rPr>
          <w:rFonts w:ascii="Arial" w:hAnsi="Arial" w:cs="Arial"/>
          <w:b/>
          <w:bCs/>
          <w:caps/>
          <w:color w:val="7E4F6F"/>
          <w:sz w:val="22"/>
          <w:szCs w:val="22"/>
        </w:rPr>
      </w:pPr>
    </w:p>
    <w:p w:rsidR="007F74B0" w:rsidRDefault="007F74B0" w:rsidP="007F74B0">
      <w:pPr>
        <w:pStyle w:val="NormalWeb"/>
        <w:spacing w:before="0" w:beforeAutospacing="0" w:after="0" w:afterAutospacing="0" w:line="360" w:lineRule="auto"/>
        <w:jc w:val="both"/>
        <w:rPr>
          <w:rFonts w:ascii="Arial" w:eastAsia="Times New Roman" w:hAnsi="Arial" w:cs="Arial"/>
          <w:b/>
          <w:bCs/>
          <w:color w:val="666666"/>
          <w:sz w:val="20"/>
          <w:szCs w:val="20"/>
        </w:rPr>
      </w:pPr>
      <w:r w:rsidRPr="007F74B0">
        <w:rPr>
          <w:rFonts w:ascii="Arial" w:eastAsia="Times New Roman" w:hAnsi="Arial" w:cs="Arial"/>
          <w:b/>
          <w:bCs/>
          <w:color w:val="666666"/>
          <w:sz w:val="20"/>
          <w:szCs w:val="20"/>
        </w:rPr>
        <w:lastRenderedPageBreak/>
        <w:t>El Consejo Nacional del Empleo, la Productividad y el Salario Mínimo, Vital y Móvil dispone, mediante el dictado de la resolución 6/2019, publicada hoy en el Boletín Oficial, un incremento del salario mínimo, vital y móvil en forma escalonada:</w:t>
      </w:r>
    </w:p>
    <w:p w:rsidR="007F74B0" w:rsidRDefault="007F74B0" w:rsidP="007F74B0">
      <w:pPr>
        <w:pStyle w:val="NormalWeb"/>
        <w:spacing w:before="0" w:beforeAutospacing="0" w:after="0" w:afterAutospacing="0" w:line="360" w:lineRule="auto"/>
        <w:jc w:val="both"/>
        <w:rPr>
          <w:rFonts w:ascii="Arial" w:eastAsia="Times New Roman" w:hAnsi="Arial" w:cs="Arial"/>
          <w:b/>
          <w:bCs/>
          <w:color w:val="666666"/>
          <w:sz w:val="20"/>
          <w:szCs w:val="20"/>
        </w:rPr>
      </w:pPr>
      <w:r w:rsidRPr="007F74B0">
        <w:rPr>
          <w:rFonts w:ascii="Arial" w:eastAsia="Times New Roman" w:hAnsi="Arial" w:cs="Arial"/>
          <w:b/>
          <w:bCs/>
          <w:color w:val="666666"/>
          <w:sz w:val="20"/>
          <w:szCs w:val="20"/>
        </w:rPr>
        <w:t>- A partir del 1 de agosto de 2019, se fija en $ 14.125.</w:t>
      </w:r>
    </w:p>
    <w:p w:rsidR="007F74B0" w:rsidRDefault="007F74B0" w:rsidP="007F74B0">
      <w:pPr>
        <w:pStyle w:val="NormalWeb"/>
        <w:spacing w:before="0" w:beforeAutospacing="0" w:after="0" w:afterAutospacing="0" w:line="360" w:lineRule="auto"/>
        <w:jc w:val="both"/>
        <w:rPr>
          <w:rFonts w:ascii="Arial" w:eastAsia="Times New Roman" w:hAnsi="Arial" w:cs="Arial"/>
          <w:b/>
          <w:bCs/>
          <w:color w:val="666666"/>
          <w:sz w:val="20"/>
          <w:szCs w:val="20"/>
        </w:rPr>
      </w:pPr>
      <w:r w:rsidRPr="007F74B0">
        <w:rPr>
          <w:rFonts w:ascii="Arial" w:eastAsia="Times New Roman" w:hAnsi="Arial" w:cs="Arial"/>
          <w:b/>
          <w:bCs/>
          <w:color w:val="666666"/>
          <w:sz w:val="20"/>
          <w:szCs w:val="20"/>
        </w:rPr>
        <w:t>- A partir del 1 de setiembre de 2019, en $ 15.625.</w:t>
      </w:r>
    </w:p>
    <w:p w:rsidR="007F74B0" w:rsidRDefault="007F74B0" w:rsidP="007F74B0">
      <w:pPr>
        <w:pStyle w:val="NormalWeb"/>
        <w:spacing w:before="0" w:beforeAutospacing="0" w:after="0" w:afterAutospacing="0" w:line="360" w:lineRule="auto"/>
        <w:jc w:val="both"/>
        <w:rPr>
          <w:rFonts w:ascii="Arial" w:eastAsia="Times New Roman" w:hAnsi="Arial" w:cs="Arial"/>
          <w:b/>
          <w:bCs/>
          <w:color w:val="666666"/>
          <w:sz w:val="20"/>
          <w:szCs w:val="20"/>
        </w:rPr>
      </w:pPr>
      <w:r w:rsidRPr="007F74B0">
        <w:rPr>
          <w:rFonts w:ascii="Arial" w:eastAsia="Times New Roman" w:hAnsi="Arial" w:cs="Arial"/>
          <w:b/>
          <w:bCs/>
          <w:color w:val="666666"/>
          <w:sz w:val="20"/>
          <w:szCs w:val="20"/>
        </w:rPr>
        <w:t>- A partir del 1 de octubre de 2019, en $ 16.875.</w:t>
      </w:r>
    </w:p>
    <w:p w:rsidR="007F74B0" w:rsidRDefault="007F74B0" w:rsidP="007F74B0">
      <w:pPr>
        <w:pStyle w:val="NormalWeb"/>
        <w:spacing w:before="0" w:beforeAutospacing="0" w:after="0" w:afterAutospacing="0" w:line="360" w:lineRule="auto"/>
        <w:jc w:val="both"/>
        <w:rPr>
          <w:rFonts w:ascii="Arial" w:eastAsia="Times New Roman" w:hAnsi="Arial" w:cs="Arial"/>
          <w:b/>
          <w:bCs/>
          <w:color w:val="666666"/>
          <w:sz w:val="20"/>
          <w:szCs w:val="20"/>
        </w:rPr>
      </w:pPr>
      <w:r w:rsidRPr="007F74B0">
        <w:rPr>
          <w:rFonts w:ascii="Arial" w:eastAsia="Times New Roman" w:hAnsi="Arial" w:cs="Arial"/>
          <w:b/>
          <w:bCs/>
          <w:color w:val="666666"/>
          <w:sz w:val="20"/>
          <w:szCs w:val="20"/>
        </w:rPr>
        <w:t xml:space="preserve">En este sentido, recordamos que conforme lo establece el artículo 40 de la </w:t>
      </w:r>
      <w:hyperlink r:id="rId13" w:history="1">
        <w:r w:rsidRPr="007F74B0">
          <w:rPr>
            <w:b/>
            <w:bCs/>
            <w:color w:val="666666"/>
          </w:rPr>
          <w:t>ley 27349</w:t>
        </w:r>
      </w:hyperlink>
      <w:r w:rsidRPr="007F74B0">
        <w:rPr>
          <w:rFonts w:ascii="Arial" w:eastAsia="Times New Roman" w:hAnsi="Arial" w:cs="Arial"/>
          <w:b/>
          <w:bCs/>
          <w:color w:val="666666"/>
          <w:sz w:val="20"/>
          <w:szCs w:val="20"/>
        </w:rPr>
        <w:t>, el capital mínimo para la constitución de sociedades por acciones simplificadas es el equivalente a dos salarios mínimos, vitales y móviles, por lo que, durante el mes de setiembre, el mismo será de $ 31.250</w:t>
      </w:r>
    </w:p>
    <w:p w:rsidR="007F74B0" w:rsidRDefault="007F74B0" w:rsidP="005516F1">
      <w:pPr>
        <w:pStyle w:val="NormalWeb"/>
        <w:spacing w:before="0" w:beforeAutospacing="0" w:after="0" w:afterAutospacing="0" w:line="360" w:lineRule="auto"/>
        <w:jc w:val="both"/>
        <w:rPr>
          <w:rFonts w:ascii="Arial" w:eastAsia="Times New Roman" w:hAnsi="Arial" w:cs="Arial"/>
          <w:b/>
          <w:bCs/>
          <w:color w:val="666666"/>
          <w:sz w:val="20"/>
          <w:szCs w:val="20"/>
        </w:rPr>
      </w:pPr>
    </w:p>
    <w:p w:rsidR="004E2070" w:rsidRPr="006C1EFB" w:rsidRDefault="004E2070" w:rsidP="006C1EFB">
      <w:pPr>
        <w:jc w:val="center"/>
        <w:rPr>
          <w:rFonts w:ascii="Arial" w:hAnsi="Arial" w:cs="Arial"/>
          <w:b/>
          <w:bCs/>
          <w:caps/>
          <w:color w:val="4F6228" w:themeColor="accent3" w:themeShade="80"/>
          <w:sz w:val="28"/>
          <w:szCs w:val="28"/>
        </w:rPr>
      </w:pPr>
      <w:r w:rsidRPr="006C1EFB">
        <w:rPr>
          <w:rFonts w:ascii="Arial" w:hAnsi="Arial" w:cs="Arial"/>
          <w:b/>
          <w:bCs/>
          <w:caps/>
          <w:color w:val="4F6228" w:themeColor="accent3" w:themeShade="80"/>
          <w:sz w:val="28"/>
          <w:szCs w:val="28"/>
        </w:rPr>
        <w:t>INVERSIONES</w:t>
      </w:r>
    </w:p>
    <w:p w:rsidR="004E2070" w:rsidRDefault="004E2070" w:rsidP="004E2070">
      <w:pPr>
        <w:rPr>
          <w:lang w:val="es-MX"/>
        </w:rPr>
      </w:pPr>
    </w:p>
    <w:p w:rsidR="004E2070" w:rsidRPr="006C1EFB" w:rsidRDefault="004E2070" w:rsidP="004E2070">
      <w:pPr>
        <w:rPr>
          <w:rFonts w:ascii="Arial" w:eastAsia="Times New Roman" w:hAnsi="Arial" w:cs="Arial"/>
          <w:b/>
          <w:bCs/>
          <w:color w:val="666666"/>
          <w:sz w:val="22"/>
          <w:szCs w:val="22"/>
        </w:rPr>
      </w:pPr>
      <w:r w:rsidRPr="006C1EFB">
        <w:rPr>
          <w:rFonts w:ascii="Arial" w:eastAsia="Times New Roman" w:hAnsi="Arial" w:cs="Arial"/>
          <w:b/>
          <w:bCs/>
          <w:color w:val="666666"/>
          <w:sz w:val="22"/>
          <w:szCs w:val="22"/>
        </w:rPr>
        <w:t>Informe de BALANZ</w:t>
      </w:r>
    </w:p>
    <w:p w:rsidR="004E2070" w:rsidRPr="004E2070" w:rsidRDefault="004E2070" w:rsidP="004E2070">
      <w:pPr>
        <w:rPr>
          <w:rFonts w:ascii="Arial" w:eastAsia="Times New Roman" w:hAnsi="Arial" w:cs="Arial"/>
          <w:b/>
          <w:bCs/>
          <w:color w:val="666666"/>
          <w:sz w:val="20"/>
          <w:szCs w:val="20"/>
        </w:rPr>
      </w:pPr>
    </w:p>
    <w:p w:rsidR="004E2070" w:rsidRPr="004E2070" w:rsidRDefault="004E2070" w:rsidP="004E2070">
      <w:pPr>
        <w:spacing w:line="360" w:lineRule="auto"/>
        <w:rPr>
          <w:rFonts w:ascii="Arial" w:eastAsia="Times New Roman" w:hAnsi="Arial" w:cs="Arial"/>
          <w:b/>
          <w:bCs/>
          <w:color w:val="666666"/>
          <w:sz w:val="20"/>
          <w:szCs w:val="20"/>
        </w:rPr>
      </w:pPr>
      <w:r w:rsidRPr="004E2070">
        <w:rPr>
          <w:rFonts w:ascii="Arial" w:eastAsia="Times New Roman" w:hAnsi="Arial" w:cs="Arial"/>
          <w:b/>
          <w:bCs/>
          <w:color w:val="666666"/>
          <w:sz w:val="20"/>
          <w:szCs w:val="20"/>
        </w:rPr>
        <w:t>El negocio que estamos viendo como atractivo dado el escenario actual y el que se puede venir en los próximos meses.</w:t>
      </w:r>
    </w:p>
    <w:p w:rsidR="004E2070" w:rsidRDefault="004E2070" w:rsidP="004E2070">
      <w:pPr>
        <w:rPr>
          <w:lang w:val="es-AR"/>
        </w:rPr>
      </w:pPr>
      <w:r>
        <w:rPr>
          <w:color w:val="1F497D"/>
          <w:lang w:val="es-MX"/>
        </w:rPr>
        <w:t> </w:t>
      </w:r>
    </w:p>
    <w:p w:rsidR="004E2070" w:rsidRDefault="004E2070" w:rsidP="004E2070">
      <w:pPr>
        <w:rPr>
          <w:lang w:val="es-AR"/>
        </w:rPr>
      </w:pPr>
      <w:r>
        <w:rPr>
          <w:b/>
          <w:bCs/>
          <w:lang w:val="es-MX"/>
        </w:rPr>
        <w:t>Cuál es la idea</w:t>
      </w:r>
      <w:proofErr w:type="gramStart"/>
      <w:r>
        <w:rPr>
          <w:b/>
          <w:bCs/>
          <w:lang w:val="es-MX"/>
        </w:rPr>
        <w:t>?</w:t>
      </w:r>
      <w:proofErr w:type="gramEnd"/>
      <w:r>
        <w:rPr>
          <w:lang w:val="es-MX"/>
        </w:rPr>
        <w:t xml:space="preserve"> </w:t>
      </w:r>
      <w:r w:rsidRPr="004E2070">
        <w:rPr>
          <w:rFonts w:ascii="Arial" w:eastAsia="Times New Roman" w:hAnsi="Arial" w:cs="Arial"/>
          <w:b/>
          <w:bCs/>
          <w:color w:val="666666"/>
          <w:sz w:val="20"/>
          <w:szCs w:val="20"/>
        </w:rPr>
        <w:t>salir de los títulos más cortos,  particularmente del</w:t>
      </w:r>
      <w:r>
        <w:rPr>
          <w:lang w:val="es-MX"/>
        </w:rPr>
        <w:t xml:space="preserve"> </w:t>
      </w:r>
      <w:proofErr w:type="spellStart"/>
      <w:r>
        <w:rPr>
          <w:b/>
          <w:bCs/>
          <w:lang w:val="es-MX"/>
        </w:rPr>
        <w:t>Bonar</w:t>
      </w:r>
      <w:proofErr w:type="spellEnd"/>
      <w:r>
        <w:rPr>
          <w:b/>
          <w:bCs/>
          <w:lang w:val="es-MX"/>
        </w:rPr>
        <w:t xml:space="preserve"> 2024 (AY24)</w:t>
      </w:r>
      <w:r>
        <w:rPr>
          <w:color w:val="1F497D"/>
          <w:lang w:val="es-MX"/>
        </w:rPr>
        <w:t xml:space="preserve">, </w:t>
      </w:r>
      <w:r>
        <w:rPr>
          <w:lang w:val="es-MX"/>
        </w:rPr>
        <w:t> </w:t>
      </w:r>
      <w:r w:rsidRPr="004E2070">
        <w:rPr>
          <w:rFonts w:ascii="Arial" w:eastAsia="Times New Roman" w:hAnsi="Arial" w:cs="Arial"/>
          <w:b/>
          <w:bCs/>
          <w:color w:val="666666"/>
          <w:sz w:val="20"/>
          <w:szCs w:val="20"/>
        </w:rPr>
        <w:t>para ir a bonos más largos por varios motivos:</w:t>
      </w:r>
      <w:r>
        <w:rPr>
          <w:lang w:val="es-MX"/>
        </w:rPr>
        <w:t xml:space="preserve"> </w:t>
      </w:r>
    </w:p>
    <w:p w:rsidR="004E2070" w:rsidRDefault="004E2070" w:rsidP="004E2070">
      <w:pPr>
        <w:rPr>
          <w:lang w:val="es-AR"/>
        </w:rPr>
      </w:pPr>
      <w:r>
        <w:rPr>
          <w:color w:val="1F497D"/>
          <w:lang w:val="es-MX"/>
        </w:rPr>
        <w:t> </w:t>
      </w:r>
    </w:p>
    <w:p w:rsidR="004E2070" w:rsidRPr="004E2070" w:rsidRDefault="004E2070" w:rsidP="004E2070">
      <w:pPr>
        <w:spacing w:line="360" w:lineRule="auto"/>
        <w:jc w:val="both"/>
        <w:rPr>
          <w:rFonts w:ascii="Arial" w:eastAsia="Times New Roman" w:hAnsi="Arial" w:cs="Arial"/>
          <w:b/>
          <w:bCs/>
          <w:color w:val="666666"/>
          <w:sz w:val="20"/>
          <w:szCs w:val="20"/>
        </w:rPr>
      </w:pPr>
      <w:r>
        <w:rPr>
          <w:lang w:val="es-MX"/>
        </w:rPr>
        <w:t>1</w:t>
      </w:r>
      <w:r w:rsidRPr="004E2070">
        <w:rPr>
          <w:rFonts w:ascii="Arial" w:eastAsia="Times New Roman" w:hAnsi="Arial" w:cs="Arial"/>
          <w:b/>
          <w:bCs/>
          <w:color w:val="666666"/>
          <w:sz w:val="20"/>
          <w:szCs w:val="20"/>
        </w:rPr>
        <w:t xml:space="preserve">) en los plazos más cortos es donde más concentrado está el riesgo ya que las necesidades de financiamiento de Argentina son mayores, influenciado por la incertidumbre electoral y el rumbo que político económico. </w:t>
      </w:r>
    </w:p>
    <w:p w:rsidR="004E2070" w:rsidRPr="004E2070" w:rsidRDefault="004E2070" w:rsidP="004E2070">
      <w:pPr>
        <w:spacing w:line="360" w:lineRule="auto"/>
        <w:jc w:val="both"/>
        <w:rPr>
          <w:rFonts w:ascii="Arial" w:eastAsia="Times New Roman" w:hAnsi="Arial" w:cs="Arial"/>
          <w:b/>
          <w:bCs/>
          <w:color w:val="666666"/>
          <w:sz w:val="20"/>
          <w:szCs w:val="20"/>
        </w:rPr>
      </w:pPr>
      <w:r w:rsidRPr="004E2070">
        <w:rPr>
          <w:rFonts w:ascii="Arial" w:eastAsia="Times New Roman" w:hAnsi="Arial" w:cs="Arial"/>
          <w:b/>
          <w:bCs/>
          <w:color w:val="666666"/>
          <w:sz w:val="20"/>
          <w:szCs w:val="20"/>
        </w:rPr>
        <w:t> </w:t>
      </w:r>
    </w:p>
    <w:p w:rsidR="004E2070" w:rsidRPr="004E2070" w:rsidRDefault="004E2070" w:rsidP="004E2070">
      <w:pPr>
        <w:spacing w:line="360" w:lineRule="auto"/>
        <w:jc w:val="both"/>
        <w:rPr>
          <w:rFonts w:ascii="Arial" w:eastAsia="Times New Roman" w:hAnsi="Arial" w:cs="Arial"/>
          <w:b/>
          <w:bCs/>
          <w:color w:val="666666"/>
          <w:sz w:val="20"/>
          <w:szCs w:val="20"/>
        </w:rPr>
      </w:pPr>
      <w:r w:rsidRPr="004E2070">
        <w:rPr>
          <w:rFonts w:ascii="Arial" w:eastAsia="Times New Roman" w:hAnsi="Arial" w:cs="Arial"/>
          <w:b/>
          <w:bCs/>
          <w:color w:val="666666"/>
          <w:sz w:val="20"/>
          <w:szCs w:val="20"/>
        </w:rPr>
        <w:t xml:space="preserve">2) los títulos más largos tienen menor paridad que los más cortos y por ende el pase de uno a otro permite generar una ganancia en el valor nominal de la cartera del cliente, </w:t>
      </w:r>
    </w:p>
    <w:p w:rsidR="004E2070" w:rsidRPr="004E2070" w:rsidRDefault="004E2070" w:rsidP="004E2070">
      <w:pPr>
        <w:spacing w:line="360" w:lineRule="auto"/>
        <w:jc w:val="both"/>
        <w:rPr>
          <w:rFonts w:ascii="Arial" w:eastAsia="Times New Roman" w:hAnsi="Arial" w:cs="Arial"/>
          <w:b/>
          <w:bCs/>
          <w:color w:val="666666"/>
          <w:sz w:val="20"/>
          <w:szCs w:val="20"/>
        </w:rPr>
      </w:pPr>
      <w:r w:rsidRPr="004E2070">
        <w:rPr>
          <w:rFonts w:ascii="Arial" w:eastAsia="Times New Roman" w:hAnsi="Arial" w:cs="Arial"/>
          <w:b/>
          <w:bCs/>
          <w:color w:val="666666"/>
          <w:sz w:val="20"/>
          <w:szCs w:val="20"/>
        </w:rPr>
        <w:t> </w:t>
      </w:r>
    </w:p>
    <w:p w:rsidR="004E2070" w:rsidRDefault="004E2070" w:rsidP="004E2070">
      <w:pPr>
        <w:spacing w:line="360" w:lineRule="auto"/>
        <w:jc w:val="both"/>
        <w:rPr>
          <w:lang w:val="es-AR"/>
        </w:rPr>
      </w:pPr>
      <w:r w:rsidRPr="004E2070">
        <w:rPr>
          <w:rFonts w:ascii="Arial" w:eastAsia="Times New Roman" w:hAnsi="Arial" w:cs="Arial"/>
          <w:b/>
          <w:bCs/>
          <w:color w:val="666666"/>
          <w:sz w:val="20"/>
          <w:szCs w:val="20"/>
        </w:rPr>
        <w:t xml:space="preserve">3) los títulos Ley Argentina son percibidos como más vulnerables ante una renegociación de deuda. Por este motivo, muchos clientes institucionales con horizonte de inversión de largo plazo están vendiendo el AY24 e incorporando títulos más lagos priorizando las siguientes características, ordenadas en función de importancia para una posición más defensiva: </w:t>
      </w:r>
      <w:r>
        <w:rPr>
          <w:lang w:val="es-MX"/>
        </w:rPr>
        <w:t> </w:t>
      </w:r>
    </w:p>
    <w:p w:rsidR="004E2070" w:rsidRDefault="004E2070" w:rsidP="004E2070">
      <w:pPr>
        <w:pStyle w:val="Prrafodelista"/>
        <w:rPr>
          <w:lang w:val="es-AR"/>
        </w:rPr>
      </w:pPr>
      <w:r>
        <w:rPr>
          <w:lang w:val="es-MX"/>
        </w:rPr>
        <w:t> </w:t>
      </w:r>
    </w:p>
    <w:p w:rsidR="004E2070" w:rsidRPr="004E2070" w:rsidRDefault="004E2070" w:rsidP="004E2070">
      <w:pPr>
        <w:pStyle w:val="Prrafodelista"/>
        <w:spacing w:line="360" w:lineRule="auto"/>
        <w:ind w:hanging="360"/>
        <w:rPr>
          <w:rFonts w:ascii="Arial" w:eastAsia="Times New Roman" w:hAnsi="Arial" w:cs="Arial"/>
          <w:b/>
          <w:bCs/>
          <w:color w:val="666666"/>
          <w:sz w:val="20"/>
          <w:szCs w:val="20"/>
        </w:rPr>
      </w:pPr>
      <w:r>
        <w:rPr>
          <w:rFonts w:ascii="Wingdings" w:hAnsi="Wingdings"/>
          <w:lang w:val="es-AR"/>
        </w:rPr>
        <w:t></w:t>
      </w:r>
      <w:r>
        <w:rPr>
          <w:sz w:val="14"/>
          <w:szCs w:val="14"/>
          <w:lang w:val="es-AR"/>
        </w:rPr>
        <w:t xml:space="preserve">  </w:t>
      </w:r>
      <w:r>
        <w:rPr>
          <w:b/>
          <w:bCs/>
          <w:u w:val="single"/>
          <w:lang w:val="es-MX"/>
        </w:rPr>
        <w:t>LEGISLACIÓN EXTRAJERA</w:t>
      </w:r>
      <w:r>
        <w:rPr>
          <w:u w:val="single"/>
          <w:lang w:val="es-MX"/>
        </w:rPr>
        <w:t>:</w:t>
      </w:r>
      <w:r>
        <w:rPr>
          <w:lang w:val="es-MX"/>
        </w:rPr>
        <w:t xml:space="preserve"> </w:t>
      </w:r>
      <w:r w:rsidRPr="004E2070">
        <w:rPr>
          <w:rFonts w:ascii="Arial" w:eastAsia="Times New Roman" w:hAnsi="Arial" w:cs="Arial"/>
          <w:b/>
          <w:bCs/>
          <w:color w:val="666666"/>
          <w:sz w:val="20"/>
          <w:szCs w:val="20"/>
        </w:rPr>
        <w:t xml:space="preserve">los títulos ley extranjera podrían ser renegociados en condiciones más beneficiosas que los ley argentina ya que no hay ninguna cláusula que relaciones el tratamiento de los bonos Ley Local con la Ley extranjera. </w:t>
      </w:r>
      <w:r w:rsidRPr="004E2070">
        <w:rPr>
          <w:rFonts w:ascii="Arial" w:eastAsia="Times New Roman" w:hAnsi="Arial" w:cs="Arial"/>
          <w:b/>
          <w:bCs/>
          <w:color w:val="666666"/>
          <w:sz w:val="20"/>
          <w:szCs w:val="20"/>
        </w:rPr>
        <w:lastRenderedPageBreak/>
        <w:t xml:space="preserve">Por este motivo hoy los bonos Ley NYC cotizan 18% más caros que los Ley ARG. Además está la jurisprudencia respecto al fallo de la corte de NYC con los fondos buitres del canje pasado que suma en este aspecto. </w:t>
      </w:r>
    </w:p>
    <w:p w:rsidR="004E2070" w:rsidRDefault="004E2070" w:rsidP="004E2070">
      <w:pPr>
        <w:pStyle w:val="Prrafodelista"/>
        <w:rPr>
          <w:lang w:val="es-AR"/>
        </w:rPr>
      </w:pPr>
      <w:r>
        <w:rPr>
          <w:lang w:val="es-MX"/>
        </w:rPr>
        <w:t> </w:t>
      </w:r>
    </w:p>
    <w:p w:rsidR="004E2070" w:rsidRDefault="004E2070" w:rsidP="004E2070">
      <w:pPr>
        <w:pStyle w:val="Prrafodelista"/>
        <w:spacing w:line="360" w:lineRule="auto"/>
        <w:ind w:hanging="360"/>
        <w:jc w:val="both"/>
        <w:rPr>
          <w:lang w:val="es-AR"/>
        </w:rPr>
      </w:pPr>
      <w:r>
        <w:rPr>
          <w:rFonts w:ascii="Wingdings" w:hAnsi="Wingdings"/>
          <w:lang w:val="es-AR"/>
        </w:rPr>
        <w:t></w:t>
      </w:r>
      <w:r>
        <w:rPr>
          <w:sz w:val="14"/>
          <w:szCs w:val="14"/>
          <w:lang w:val="es-AR"/>
        </w:rPr>
        <w:t xml:space="preserve">  </w:t>
      </w:r>
      <w:r>
        <w:rPr>
          <w:b/>
          <w:bCs/>
          <w:u w:val="single"/>
          <w:lang w:val="es-MX"/>
        </w:rPr>
        <w:t>BAJA PARIDAD</w:t>
      </w:r>
      <w:r>
        <w:rPr>
          <w:b/>
          <w:bCs/>
          <w:lang w:val="es-MX"/>
        </w:rPr>
        <w:t>:</w:t>
      </w:r>
      <w:r>
        <w:rPr>
          <w:lang w:val="es-MX"/>
        </w:rPr>
        <w:t xml:space="preserve"> </w:t>
      </w:r>
      <w:r w:rsidRPr="004E2070">
        <w:rPr>
          <w:rFonts w:ascii="Arial" w:eastAsia="Times New Roman" w:hAnsi="Arial" w:cs="Arial"/>
          <w:b/>
          <w:bCs/>
          <w:color w:val="666666"/>
          <w:sz w:val="20"/>
          <w:szCs w:val="20"/>
        </w:rPr>
        <w:t>cuanto más baja sea la paridad del título en relación al AY24 más grande es la ganancia en nominales. Además con un título a baja paridad ante una re-estructuración de deuda con quita de capital, hace que se esté mejor parado que con un título de mayor paridad. Al momento de re-negociación la cantidad de nominales en cartera es lo que cuenta.</w:t>
      </w:r>
      <w:r>
        <w:rPr>
          <w:lang w:val="es-MX"/>
        </w:rPr>
        <w:t xml:space="preserve"> </w:t>
      </w:r>
    </w:p>
    <w:p w:rsidR="004E2070" w:rsidRDefault="004E2070" w:rsidP="006C1EFB">
      <w:pPr>
        <w:rPr>
          <w:lang w:val="es-AR"/>
        </w:rPr>
      </w:pPr>
      <w:r>
        <w:rPr>
          <w:lang w:val="es-MX"/>
        </w:rPr>
        <w:t>  </w:t>
      </w:r>
    </w:p>
    <w:p w:rsidR="004E2070" w:rsidRDefault="004E2070" w:rsidP="004E2070">
      <w:pPr>
        <w:spacing w:line="360" w:lineRule="auto"/>
        <w:rPr>
          <w:rFonts w:ascii="Arial" w:eastAsia="Times New Roman" w:hAnsi="Arial" w:cs="Arial"/>
          <w:b/>
          <w:bCs/>
          <w:color w:val="666666"/>
          <w:sz w:val="20"/>
          <w:szCs w:val="20"/>
        </w:rPr>
      </w:pPr>
      <w:r w:rsidRPr="004E2070">
        <w:rPr>
          <w:rFonts w:ascii="Arial" w:eastAsia="Times New Roman" w:hAnsi="Arial" w:cs="Arial"/>
          <w:b/>
          <w:bCs/>
          <w:color w:val="666666"/>
          <w:sz w:val="20"/>
          <w:szCs w:val="20"/>
        </w:rPr>
        <w:t>Siguiendo estos criterios, ordenamos los títulos que  en función de cuáles nos parecen más defensivos y que generen una ganancia respecto permanecer en el AY24:</w:t>
      </w:r>
    </w:p>
    <w:p w:rsidR="004E2070" w:rsidRDefault="004E2070" w:rsidP="004E2070">
      <w:pPr>
        <w:rPr>
          <w:rFonts w:ascii="Calibri" w:hAnsi="Calibri"/>
          <w:sz w:val="22"/>
          <w:szCs w:val="22"/>
          <w:lang w:val="es-AR" w:eastAsia="en-US"/>
        </w:rPr>
      </w:pPr>
    </w:p>
    <w:tbl>
      <w:tblPr>
        <w:tblW w:w="8622" w:type="dxa"/>
        <w:tblInd w:w="55" w:type="dxa"/>
        <w:tblCellMar>
          <w:left w:w="70" w:type="dxa"/>
          <w:right w:w="70" w:type="dxa"/>
        </w:tblCellMar>
        <w:tblLook w:val="04A0"/>
      </w:tblPr>
      <w:tblGrid>
        <w:gridCol w:w="1079"/>
        <w:gridCol w:w="756"/>
        <w:gridCol w:w="646"/>
        <w:gridCol w:w="940"/>
        <w:gridCol w:w="1013"/>
        <w:gridCol w:w="1405"/>
        <w:gridCol w:w="1013"/>
        <w:gridCol w:w="885"/>
        <w:gridCol w:w="885"/>
      </w:tblGrid>
      <w:tr w:rsidR="004E2070" w:rsidRPr="00F80E37" w:rsidTr="007E2E51">
        <w:trPr>
          <w:trHeight w:val="733"/>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070" w:rsidRPr="00F80E37" w:rsidRDefault="004E2070" w:rsidP="007E2E51">
            <w:pPr>
              <w:jc w:val="center"/>
              <w:rPr>
                <w:rFonts w:ascii="Calibri" w:eastAsia="Times New Roman" w:hAnsi="Calibri"/>
                <w:b/>
                <w:bCs/>
                <w:color w:val="000000"/>
                <w:sz w:val="18"/>
                <w:szCs w:val="18"/>
              </w:rPr>
            </w:pPr>
            <w:r w:rsidRPr="00F80E37">
              <w:rPr>
                <w:rFonts w:ascii="Calibri" w:eastAsia="Times New Roman" w:hAnsi="Calibri"/>
                <w:b/>
                <w:bCs/>
                <w:color w:val="000000"/>
                <w:sz w:val="18"/>
                <w:szCs w:val="18"/>
                <w:lang w:eastAsia="es-MX"/>
              </w:rPr>
              <w:t>VN</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4E2070" w:rsidRPr="00F80E37" w:rsidRDefault="004E2070" w:rsidP="007E2E51">
            <w:pPr>
              <w:rPr>
                <w:rFonts w:ascii="Calibri" w:eastAsia="Times New Roman" w:hAnsi="Calibri"/>
                <w:color w:val="000000"/>
                <w:sz w:val="18"/>
                <w:szCs w:val="18"/>
              </w:rPr>
            </w:pPr>
            <w:r w:rsidRPr="00F80E37">
              <w:rPr>
                <w:rFonts w:ascii="Calibri" w:eastAsia="Times New Roman" w:hAnsi="Calibri"/>
                <w:color w:val="000000"/>
                <w:sz w:val="18"/>
                <w:szCs w:val="18"/>
              </w:rPr>
              <w:t> </w:t>
            </w:r>
          </w:p>
        </w:tc>
        <w:tc>
          <w:tcPr>
            <w:tcW w:w="646" w:type="dxa"/>
            <w:tcBorders>
              <w:top w:val="single" w:sz="4" w:space="0" w:color="auto"/>
              <w:left w:val="nil"/>
              <w:bottom w:val="single" w:sz="4" w:space="0" w:color="auto"/>
              <w:right w:val="single" w:sz="4" w:space="0" w:color="auto"/>
            </w:tcBorders>
            <w:shd w:val="clear" w:color="000000" w:fill="8E0000"/>
            <w:vAlign w:val="center"/>
            <w:hideMark/>
          </w:tcPr>
          <w:p w:rsidR="004E2070" w:rsidRPr="00F80E37" w:rsidRDefault="004E2070" w:rsidP="007E2E51">
            <w:pPr>
              <w:jc w:val="center"/>
              <w:rPr>
                <w:rFonts w:ascii="Calibri" w:eastAsia="Times New Roman" w:hAnsi="Calibri"/>
                <w:color w:val="FFFFFF"/>
                <w:sz w:val="18"/>
                <w:szCs w:val="18"/>
              </w:rPr>
            </w:pPr>
            <w:r w:rsidRPr="00F80E37">
              <w:rPr>
                <w:rFonts w:ascii="Calibri" w:eastAsia="Times New Roman" w:hAnsi="Calibri"/>
                <w:color w:val="FFFFFF"/>
                <w:sz w:val="18"/>
                <w:szCs w:val="18"/>
                <w:lang w:eastAsia="es-MX"/>
              </w:rPr>
              <w:t>Precio</w:t>
            </w:r>
          </w:p>
        </w:tc>
        <w:tc>
          <w:tcPr>
            <w:tcW w:w="940" w:type="dxa"/>
            <w:tcBorders>
              <w:top w:val="single" w:sz="4" w:space="0" w:color="auto"/>
              <w:left w:val="nil"/>
              <w:bottom w:val="single" w:sz="4" w:space="0" w:color="auto"/>
              <w:right w:val="single" w:sz="4" w:space="0" w:color="auto"/>
            </w:tcBorders>
            <w:shd w:val="clear" w:color="000000" w:fill="8E0000"/>
            <w:vAlign w:val="center"/>
            <w:hideMark/>
          </w:tcPr>
          <w:p w:rsidR="004E2070" w:rsidRPr="00F80E37" w:rsidRDefault="004E2070" w:rsidP="007E2E51">
            <w:pPr>
              <w:jc w:val="center"/>
              <w:rPr>
                <w:rFonts w:ascii="Calibri" w:eastAsia="Times New Roman" w:hAnsi="Calibri"/>
                <w:color w:val="FFFFFF"/>
                <w:sz w:val="18"/>
                <w:szCs w:val="18"/>
              </w:rPr>
            </w:pPr>
            <w:r w:rsidRPr="00F80E37">
              <w:rPr>
                <w:rFonts w:ascii="Calibri" w:eastAsia="Times New Roman" w:hAnsi="Calibri"/>
                <w:color w:val="FFFFFF"/>
                <w:sz w:val="18"/>
                <w:szCs w:val="18"/>
                <w:lang w:eastAsia="es-MX"/>
              </w:rPr>
              <w:t>Valor Par</w:t>
            </w:r>
          </w:p>
        </w:tc>
        <w:tc>
          <w:tcPr>
            <w:tcW w:w="1013" w:type="dxa"/>
            <w:tcBorders>
              <w:top w:val="single" w:sz="4" w:space="0" w:color="auto"/>
              <w:left w:val="nil"/>
              <w:bottom w:val="single" w:sz="4" w:space="0" w:color="auto"/>
              <w:right w:val="single" w:sz="4" w:space="0" w:color="auto"/>
            </w:tcBorders>
            <w:shd w:val="clear" w:color="000000" w:fill="8E0000"/>
            <w:vAlign w:val="center"/>
            <w:hideMark/>
          </w:tcPr>
          <w:p w:rsidR="004E2070" w:rsidRPr="00F80E37" w:rsidRDefault="004E2070" w:rsidP="007E2E51">
            <w:pPr>
              <w:jc w:val="center"/>
              <w:rPr>
                <w:rFonts w:ascii="Calibri" w:eastAsia="Times New Roman" w:hAnsi="Calibri"/>
                <w:color w:val="FFFFFF"/>
                <w:sz w:val="18"/>
                <w:szCs w:val="18"/>
              </w:rPr>
            </w:pPr>
            <w:r w:rsidRPr="00F80E37">
              <w:rPr>
                <w:rFonts w:ascii="Calibri" w:eastAsia="Times New Roman" w:hAnsi="Calibri"/>
                <w:color w:val="FFFFFF"/>
                <w:sz w:val="18"/>
                <w:szCs w:val="18"/>
                <w:lang w:eastAsia="es-MX"/>
              </w:rPr>
              <w:t>Valor Actual (precio de mercado)</w:t>
            </w:r>
          </w:p>
        </w:tc>
        <w:tc>
          <w:tcPr>
            <w:tcW w:w="1405" w:type="dxa"/>
            <w:tcBorders>
              <w:top w:val="single" w:sz="4" w:space="0" w:color="auto"/>
              <w:left w:val="nil"/>
              <w:bottom w:val="single" w:sz="4" w:space="0" w:color="auto"/>
              <w:right w:val="single" w:sz="4" w:space="0" w:color="auto"/>
            </w:tcBorders>
            <w:shd w:val="clear" w:color="000000" w:fill="8E0000"/>
            <w:vAlign w:val="center"/>
            <w:hideMark/>
          </w:tcPr>
          <w:p w:rsidR="004E2070" w:rsidRPr="00F80E37" w:rsidRDefault="004E2070" w:rsidP="007E2E51">
            <w:pPr>
              <w:jc w:val="center"/>
              <w:rPr>
                <w:rFonts w:ascii="Calibri" w:eastAsia="Times New Roman" w:hAnsi="Calibri"/>
                <w:color w:val="FFFFFF"/>
                <w:sz w:val="18"/>
                <w:szCs w:val="18"/>
              </w:rPr>
            </w:pPr>
            <w:r w:rsidRPr="00F80E37">
              <w:rPr>
                <w:rFonts w:ascii="Calibri" w:eastAsia="Times New Roman" w:hAnsi="Calibri"/>
                <w:color w:val="FFFFFF"/>
                <w:sz w:val="18"/>
                <w:szCs w:val="18"/>
                <w:lang w:eastAsia="es-MX"/>
              </w:rPr>
              <w:t>V Nominal</w:t>
            </w:r>
          </w:p>
        </w:tc>
        <w:tc>
          <w:tcPr>
            <w:tcW w:w="1013" w:type="dxa"/>
            <w:tcBorders>
              <w:top w:val="single" w:sz="4" w:space="0" w:color="auto"/>
              <w:left w:val="nil"/>
              <w:bottom w:val="single" w:sz="4" w:space="0" w:color="auto"/>
              <w:right w:val="single" w:sz="4" w:space="0" w:color="auto"/>
            </w:tcBorders>
            <w:shd w:val="clear" w:color="000000" w:fill="8E0000"/>
            <w:vAlign w:val="center"/>
            <w:hideMark/>
          </w:tcPr>
          <w:p w:rsidR="004E2070" w:rsidRPr="00F80E37" w:rsidRDefault="004E2070" w:rsidP="007E2E51">
            <w:pPr>
              <w:jc w:val="center"/>
              <w:rPr>
                <w:rFonts w:ascii="Calibri" w:eastAsia="Times New Roman" w:hAnsi="Calibri"/>
                <w:color w:val="FFFFFF"/>
                <w:sz w:val="18"/>
                <w:szCs w:val="18"/>
              </w:rPr>
            </w:pPr>
            <w:proofErr w:type="spellStart"/>
            <w:r w:rsidRPr="00F80E37">
              <w:rPr>
                <w:rFonts w:ascii="Calibri" w:eastAsia="Times New Roman" w:hAnsi="Calibri"/>
                <w:color w:val="FFFFFF"/>
                <w:sz w:val="18"/>
                <w:szCs w:val="18"/>
                <w:lang w:eastAsia="es-MX"/>
              </w:rPr>
              <w:t>Próx</w:t>
            </w:r>
            <w:proofErr w:type="spellEnd"/>
            <w:r w:rsidRPr="00F80E37">
              <w:rPr>
                <w:rFonts w:ascii="Calibri" w:eastAsia="Times New Roman" w:hAnsi="Calibri"/>
                <w:color w:val="FFFFFF"/>
                <w:sz w:val="18"/>
                <w:szCs w:val="18"/>
                <w:lang w:eastAsia="es-MX"/>
              </w:rPr>
              <w:t xml:space="preserve"> Cupón</w:t>
            </w:r>
          </w:p>
        </w:tc>
        <w:tc>
          <w:tcPr>
            <w:tcW w:w="885" w:type="dxa"/>
            <w:tcBorders>
              <w:top w:val="single" w:sz="4" w:space="0" w:color="auto"/>
              <w:left w:val="nil"/>
              <w:bottom w:val="single" w:sz="4" w:space="0" w:color="auto"/>
              <w:right w:val="single" w:sz="4" w:space="0" w:color="auto"/>
            </w:tcBorders>
            <w:shd w:val="clear" w:color="000000" w:fill="8E0000"/>
            <w:vAlign w:val="center"/>
            <w:hideMark/>
          </w:tcPr>
          <w:p w:rsidR="004E2070" w:rsidRPr="00F80E37" w:rsidRDefault="004E2070" w:rsidP="007E2E51">
            <w:pPr>
              <w:jc w:val="center"/>
              <w:rPr>
                <w:rFonts w:ascii="Calibri" w:eastAsia="Times New Roman" w:hAnsi="Calibri"/>
                <w:color w:val="FFFFFF"/>
                <w:sz w:val="18"/>
                <w:szCs w:val="18"/>
              </w:rPr>
            </w:pPr>
            <w:r w:rsidRPr="00F80E37">
              <w:rPr>
                <w:rFonts w:ascii="Calibri" w:eastAsia="Times New Roman" w:hAnsi="Calibri"/>
                <w:color w:val="FFFFFF"/>
                <w:sz w:val="18"/>
                <w:szCs w:val="18"/>
                <w:lang w:eastAsia="es-MX"/>
              </w:rPr>
              <w:t xml:space="preserve">Fecha Pago </w:t>
            </w:r>
            <w:proofErr w:type="spellStart"/>
            <w:r w:rsidRPr="00F80E37">
              <w:rPr>
                <w:rFonts w:ascii="Calibri" w:eastAsia="Times New Roman" w:hAnsi="Calibri"/>
                <w:color w:val="FFFFFF"/>
                <w:sz w:val="18"/>
                <w:szCs w:val="18"/>
                <w:lang w:eastAsia="es-MX"/>
              </w:rPr>
              <w:t>Próx</w:t>
            </w:r>
            <w:proofErr w:type="spellEnd"/>
            <w:r w:rsidRPr="00F80E37">
              <w:rPr>
                <w:rFonts w:ascii="Calibri" w:eastAsia="Times New Roman" w:hAnsi="Calibri"/>
                <w:color w:val="FFFFFF"/>
                <w:sz w:val="18"/>
                <w:szCs w:val="18"/>
                <w:lang w:eastAsia="es-MX"/>
              </w:rPr>
              <w:t xml:space="preserve"> Cupón</w:t>
            </w:r>
          </w:p>
        </w:tc>
        <w:tc>
          <w:tcPr>
            <w:tcW w:w="885" w:type="dxa"/>
            <w:tcBorders>
              <w:top w:val="single" w:sz="4" w:space="0" w:color="auto"/>
              <w:left w:val="nil"/>
              <w:bottom w:val="single" w:sz="4" w:space="0" w:color="auto"/>
              <w:right w:val="single" w:sz="4" w:space="0" w:color="auto"/>
            </w:tcBorders>
            <w:shd w:val="clear" w:color="auto" w:fill="auto"/>
            <w:noWrap/>
            <w:vAlign w:val="center"/>
            <w:hideMark/>
          </w:tcPr>
          <w:p w:rsidR="004E2070" w:rsidRPr="00F80E37" w:rsidRDefault="004E2070" w:rsidP="007E2E51">
            <w:pPr>
              <w:rPr>
                <w:rFonts w:ascii="Calibri" w:eastAsia="Times New Roman" w:hAnsi="Calibri"/>
                <w:color w:val="000000"/>
                <w:sz w:val="18"/>
                <w:szCs w:val="18"/>
              </w:rPr>
            </w:pPr>
            <w:r w:rsidRPr="00F80E37">
              <w:rPr>
                <w:rFonts w:ascii="Calibri" w:eastAsia="Times New Roman" w:hAnsi="Calibri"/>
                <w:color w:val="000000"/>
                <w:sz w:val="18"/>
                <w:szCs w:val="18"/>
              </w:rPr>
              <w:t> </w:t>
            </w:r>
          </w:p>
        </w:tc>
      </w:tr>
      <w:tr w:rsidR="004E2070" w:rsidRPr="00F80E37" w:rsidTr="007E2E51">
        <w:trPr>
          <w:trHeight w:val="305"/>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4E2070" w:rsidRPr="00F80E37" w:rsidRDefault="004E2070" w:rsidP="007E2E51">
            <w:pPr>
              <w:jc w:val="right"/>
              <w:rPr>
                <w:rFonts w:ascii="Calibri" w:eastAsia="Times New Roman" w:hAnsi="Calibri"/>
                <w:color w:val="000000"/>
                <w:sz w:val="18"/>
                <w:szCs w:val="18"/>
              </w:rPr>
            </w:pPr>
            <w:r w:rsidRPr="00F80E37">
              <w:rPr>
                <w:rFonts w:ascii="Calibri" w:eastAsia="Times New Roman" w:hAnsi="Calibri"/>
                <w:color w:val="000000"/>
                <w:sz w:val="18"/>
                <w:szCs w:val="18"/>
                <w:lang w:eastAsia="es-MX"/>
              </w:rPr>
              <w:t>1.000.000</w:t>
            </w:r>
          </w:p>
        </w:tc>
        <w:tc>
          <w:tcPr>
            <w:tcW w:w="756"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color w:val="000000"/>
                <w:sz w:val="18"/>
                <w:szCs w:val="18"/>
              </w:rPr>
            </w:pPr>
            <w:r w:rsidRPr="00F80E37">
              <w:rPr>
                <w:rFonts w:ascii="Calibri" w:eastAsia="Times New Roman" w:hAnsi="Calibri"/>
                <w:color w:val="000000"/>
                <w:sz w:val="18"/>
                <w:szCs w:val="18"/>
                <w:lang w:eastAsia="es-MX"/>
              </w:rPr>
              <w:t>AY24</w:t>
            </w:r>
          </w:p>
        </w:tc>
        <w:tc>
          <w:tcPr>
            <w:tcW w:w="646"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right"/>
              <w:rPr>
                <w:rFonts w:ascii="Calibri" w:eastAsia="Times New Roman" w:hAnsi="Calibri"/>
                <w:color w:val="000000"/>
                <w:sz w:val="18"/>
                <w:szCs w:val="18"/>
              </w:rPr>
            </w:pPr>
            <w:r w:rsidRPr="00F80E37">
              <w:rPr>
                <w:rFonts w:ascii="Calibri" w:eastAsia="Times New Roman" w:hAnsi="Calibri"/>
                <w:color w:val="000000"/>
                <w:sz w:val="18"/>
                <w:szCs w:val="18"/>
                <w:lang w:eastAsia="es-MX"/>
              </w:rPr>
              <w:t>42,92</w:t>
            </w:r>
          </w:p>
        </w:tc>
        <w:tc>
          <w:tcPr>
            <w:tcW w:w="940"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color w:val="000000"/>
                <w:sz w:val="18"/>
                <w:szCs w:val="18"/>
              </w:rPr>
            </w:pPr>
            <w:r w:rsidRPr="00F80E37">
              <w:rPr>
                <w:rFonts w:ascii="Calibri" w:eastAsia="Times New Roman" w:hAnsi="Calibri"/>
                <w:color w:val="000000"/>
                <w:sz w:val="18"/>
                <w:szCs w:val="18"/>
                <w:lang w:eastAsia="es-MX"/>
              </w:rPr>
              <w:t>0,8334</w:t>
            </w:r>
          </w:p>
        </w:tc>
        <w:tc>
          <w:tcPr>
            <w:tcW w:w="1013"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right"/>
              <w:rPr>
                <w:rFonts w:ascii="Calibri" w:eastAsia="Times New Roman" w:hAnsi="Calibri"/>
                <w:color w:val="000000"/>
                <w:sz w:val="18"/>
                <w:szCs w:val="18"/>
              </w:rPr>
            </w:pPr>
            <w:r w:rsidRPr="00F80E37">
              <w:rPr>
                <w:rFonts w:ascii="Calibri" w:eastAsia="Times New Roman" w:hAnsi="Calibri"/>
                <w:color w:val="000000"/>
                <w:sz w:val="18"/>
                <w:szCs w:val="18"/>
                <w:lang w:eastAsia="es-MX"/>
              </w:rPr>
              <w:t>429.200</w:t>
            </w:r>
          </w:p>
        </w:tc>
        <w:tc>
          <w:tcPr>
            <w:tcW w:w="1405"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rPr>
                <w:rFonts w:ascii="Calibri" w:eastAsia="Times New Roman" w:hAnsi="Calibri"/>
                <w:color w:val="000000"/>
                <w:sz w:val="18"/>
                <w:szCs w:val="18"/>
              </w:rPr>
            </w:pPr>
            <w:r w:rsidRPr="00F80E37">
              <w:rPr>
                <w:rFonts w:ascii="Calibri" w:eastAsia="Times New Roman" w:hAnsi="Calibri"/>
                <w:color w:val="000000"/>
                <w:sz w:val="18"/>
                <w:szCs w:val="18"/>
                <w:lang w:eastAsia="es-MX"/>
              </w:rPr>
              <w:t xml:space="preserve">          833.400 </w:t>
            </w:r>
          </w:p>
        </w:tc>
        <w:tc>
          <w:tcPr>
            <w:tcW w:w="1013"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right"/>
              <w:rPr>
                <w:rFonts w:ascii="Calibri" w:eastAsia="Times New Roman" w:hAnsi="Calibri"/>
                <w:color w:val="000000"/>
                <w:sz w:val="18"/>
                <w:szCs w:val="18"/>
              </w:rPr>
            </w:pPr>
            <w:r w:rsidRPr="00F80E37">
              <w:rPr>
                <w:rFonts w:ascii="Calibri" w:eastAsia="Times New Roman" w:hAnsi="Calibri"/>
                <w:color w:val="000000"/>
                <w:sz w:val="18"/>
                <w:szCs w:val="18"/>
                <w:lang w:eastAsia="es-MX"/>
              </w:rPr>
              <w:t>36.461</w:t>
            </w:r>
          </w:p>
        </w:tc>
        <w:tc>
          <w:tcPr>
            <w:tcW w:w="885"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right"/>
              <w:rPr>
                <w:rFonts w:ascii="Calibri" w:eastAsia="Times New Roman" w:hAnsi="Calibri"/>
                <w:color w:val="000000"/>
                <w:sz w:val="18"/>
                <w:szCs w:val="18"/>
              </w:rPr>
            </w:pPr>
            <w:r w:rsidRPr="00F80E37">
              <w:rPr>
                <w:rFonts w:ascii="Calibri" w:eastAsia="Times New Roman" w:hAnsi="Calibri"/>
                <w:color w:val="000000"/>
                <w:sz w:val="18"/>
                <w:szCs w:val="18"/>
                <w:lang w:eastAsia="es-MX"/>
              </w:rPr>
              <w:t>07-Nov</w:t>
            </w:r>
          </w:p>
        </w:tc>
        <w:tc>
          <w:tcPr>
            <w:tcW w:w="885"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rPr>
                <w:rFonts w:ascii="Calibri" w:eastAsia="Times New Roman" w:hAnsi="Calibri"/>
                <w:color w:val="000000"/>
                <w:sz w:val="18"/>
                <w:szCs w:val="18"/>
              </w:rPr>
            </w:pPr>
            <w:r w:rsidRPr="00F80E37">
              <w:rPr>
                <w:rFonts w:ascii="Calibri" w:eastAsia="Times New Roman" w:hAnsi="Calibri"/>
                <w:color w:val="000000"/>
                <w:sz w:val="18"/>
                <w:szCs w:val="18"/>
              </w:rPr>
              <w:t> </w:t>
            </w:r>
          </w:p>
        </w:tc>
      </w:tr>
      <w:tr w:rsidR="004E2070" w:rsidRPr="00F80E37" w:rsidTr="007E2E51">
        <w:trPr>
          <w:trHeight w:val="305"/>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4E2070" w:rsidRPr="00F80E37" w:rsidRDefault="004E2070" w:rsidP="007E2E51">
            <w:pPr>
              <w:rPr>
                <w:rFonts w:ascii="Calibri" w:eastAsia="Times New Roman" w:hAnsi="Calibri"/>
                <w:color w:val="000000"/>
                <w:sz w:val="18"/>
                <w:szCs w:val="18"/>
              </w:rPr>
            </w:pPr>
            <w:r w:rsidRPr="00F80E37">
              <w:rPr>
                <w:rFonts w:ascii="Calibri" w:eastAsia="Times New Roman" w:hAnsi="Calibri"/>
                <w:color w:val="000000"/>
                <w:sz w:val="18"/>
                <w:szCs w:val="18"/>
              </w:rPr>
              <w:t> </w:t>
            </w:r>
          </w:p>
        </w:tc>
        <w:tc>
          <w:tcPr>
            <w:tcW w:w="756"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rPr>
                <w:rFonts w:ascii="Calibri" w:eastAsia="Times New Roman" w:hAnsi="Calibri"/>
                <w:color w:val="000000"/>
                <w:sz w:val="18"/>
                <w:szCs w:val="18"/>
              </w:rPr>
            </w:pPr>
            <w:r w:rsidRPr="00F80E37">
              <w:rPr>
                <w:rFonts w:ascii="Calibri" w:eastAsia="Times New Roman" w:hAnsi="Calibri"/>
                <w:color w:val="000000"/>
                <w:sz w:val="18"/>
                <w:szCs w:val="18"/>
              </w:rPr>
              <w:t> </w:t>
            </w:r>
          </w:p>
        </w:tc>
        <w:tc>
          <w:tcPr>
            <w:tcW w:w="646"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rPr>
                <w:rFonts w:ascii="Calibri" w:eastAsia="Times New Roman" w:hAnsi="Calibri"/>
                <w:color w:val="000000"/>
                <w:sz w:val="18"/>
                <w:szCs w:val="18"/>
              </w:rPr>
            </w:pPr>
            <w:r w:rsidRPr="00F80E37">
              <w:rPr>
                <w:rFonts w:ascii="Calibri" w:eastAsia="Times New Roman" w:hAnsi="Calibri"/>
                <w:color w:val="000000"/>
                <w:sz w:val="18"/>
                <w:szCs w:val="18"/>
              </w:rPr>
              <w:t> </w:t>
            </w:r>
          </w:p>
        </w:tc>
        <w:tc>
          <w:tcPr>
            <w:tcW w:w="940"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rPr>
                <w:rFonts w:ascii="Calibri" w:eastAsia="Times New Roman" w:hAnsi="Calibri"/>
                <w:color w:val="000000"/>
                <w:sz w:val="18"/>
                <w:szCs w:val="18"/>
              </w:rPr>
            </w:pPr>
            <w:r w:rsidRPr="00F80E37">
              <w:rPr>
                <w:rFonts w:ascii="Calibri" w:eastAsia="Times New Roman" w:hAnsi="Calibri"/>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rPr>
                <w:rFonts w:ascii="Calibri" w:eastAsia="Times New Roman" w:hAnsi="Calibri"/>
                <w:color w:val="000000"/>
                <w:sz w:val="18"/>
                <w:szCs w:val="18"/>
              </w:rPr>
            </w:pPr>
            <w:r w:rsidRPr="00F80E37">
              <w:rPr>
                <w:rFonts w:ascii="Calibri" w:eastAsia="Times New Roman" w:hAnsi="Calibri"/>
                <w:color w:val="000000"/>
                <w:sz w:val="18"/>
                <w:szCs w:val="18"/>
              </w:rPr>
              <w:t> </w:t>
            </w:r>
          </w:p>
        </w:tc>
        <w:tc>
          <w:tcPr>
            <w:tcW w:w="1405"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rPr>
                <w:rFonts w:ascii="Calibri" w:eastAsia="Times New Roman" w:hAnsi="Calibri"/>
                <w:color w:val="000000"/>
                <w:sz w:val="18"/>
                <w:szCs w:val="18"/>
              </w:rPr>
            </w:pPr>
            <w:r w:rsidRPr="00F80E37">
              <w:rPr>
                <w:rFonts w:ascii="Calibri" w:eastAsia="Times New Roman" w:hAnsi="Calibri"/>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rPr>
                <w:rFonts w:ascii="Calibri" w:eastAsia="Times New Roman" w:hAnsi="Calibri"/>
                <w:color w:val="000000"/>
                <w:sz w:val="18"/>
                <w:szCs w:val="18"/>
              </w:rPr>
            </w:pPr>
            <w:r w:rsidRPr="00F80E37">
              <w:rPr>
                <w:rFonts w:ascii="Calibri" w:eastAsia="Times New Roman" w:hAnsi="Calibri"/>
                <w:color w:val="000000"/>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rPr>
                <w:rFonts w:ascii="Calibri" w:eastAsia="Times New Roman" w:hAnsi="Calibri"/>
                <w:color w:val="000000"/>
                <w:sz w:val="18"/>
                <w:szCs w:val="18"/>
              </w:rPr>
            </w:pPr>
            <w:r w:rsidRPr="00F80E37">
              <w:rPr>
                <w:rFonts w:ascii="Calibri" w:eastAsia="Times New Roman" w:hAnsi="Calibri"/>
                <w:color w:val="000000"/>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rPr>
                <w:rFonts w:ascii="Calibri" w:eastAsia="Times New Roman" w:hAnsi="Calibri"/>
                <w:color w:val="000000"/>
                <w:sz w:val="18"/>
                <w:szCs w:val="18"/>
              </w:rPr>
            </w:pPr>
            <w:r w:rsidRPr="00F80E37">
              <w:rPr>
                <w:rFonts w:ascii="Calibri" w:eastAsia="Times New Roman" w:hAnsi="Calibri"/>
                <w:color w:val="000000"/>
                <w:sz w:val="18"/>
                <w:szCs w:val="18"/>
              </w:rPr>
              <w:t> </w:t>
            </w:r>
          </w:p>
        </w:tc>
      </w:tr>
      <w:tr w:rsidR="004E2070" w:rsidRPr="00F80E37" w:rsidTr="007E2E51">
        <w:trPr>
          <w:trHeight w:val="748"/>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4E2070" w:rsidRPr="00F80E37" w:rsidRDefault="004E2070" w:rsidP="007E2E51">
            <w:pPr>
              <w:rPr>
                <w:rFonts w:ascii="Calibri" w:eastAsia="Times New Roman" w:hAnsi="Calibri"/>
                <w:color w:val="000000"/>
                <w:sz w:val="18"/>
                <w:szCs w:val="18"/>
              </w:rPr>
            </w:pPr>
            <w:r w:rsidRPr="00F80E37">
              <w:rPr>
                <w:rFonts w:ascii="Calibri" w:eastAsia="Times New Roman" w:hAnsi="Calibri"/>
                <w:color w:val="000000"/>
                <w:sz w:val="18"/>
                <w:szCs w:val="18"/>
              </w:rPr>
              <w:t> </w:t>
            </w:r>
          </w:p>
        </w:tc>
        <w:tc>
          <w:tcPr>
            <w:tcW w:w="756" w:type="dxa"/>
            <w:tcBorders>
              <w:top w:val="nil"/>
              <w:left w:val="nil"/>
              <w:bottom w:val="single" w:sz="4" w:space="0" w:color="auto"/>
              <w:right w:val="single" w:sz="4" w:space="0" w:color="auto"/>
            </w:tcBorders>
            <w:shd w:val="clear" w:color="000000" w:fill="002060"/>
            <w:vAlign w:val="center"/>
            <w:hideMark/>
          </w:tcPr>
          <w:p w:rsidR="004E2070" w:rsidRPr="00F80E37" w:rsidRDefault="004E2070" w:rsidP="007E2E51">
            <w:pPr>
              <w:jc w:val="center"/>
              <w:rPr>
                <w:rFonts w:ascii="Calibri" w:eastAsia="Times New Roman" w:hAnsi="Calibri"/>
                <w:color w:val="FFFFFF"/>
                <w:sz w:val="18"/>
                <w:szCs w:val="18"/>
              </w:rPr>
            </w:pPr>
            <w:r w:rsidRPr="00F80E37">
              <w:rPr>
                <w:rFonts w:ascii="Calibri" w:eastAsia="Times New Roman" w:hAnsi="Calibri"/>
                <w:color w:val="FFFFFF"/>
                <w:sz w:val="18"/>
                <w:szCs w:val="18"/>
                <w:lang w:eastAsia="es-MX"/>
              </w:rPr>
              <w:t>Precio</w:t>
            </w:r>
          </w:p>
        </w:tc>
        <w:tc>
          <w:tcPr>
            <w:tcW w:w="646" w:type="dxa"/>
            <w:tcBorders>
              <w:top w:val="nil"/>
              <w:left w:val="nil"/>
              <w:bottom w:val="single" w:sz="4" w:space="0" w:color="auto"/>
              <w:right w:val="single" w:sz="4" w:space="0" w:color="auto"/>
            </w:tcBorders>
            <w:shd w:val="clear" w:color="000000" w:fill="002060"/>
            <w:vAlign w:val="center"/>
            <w:hideMark/>
          </w:tcPr>
          <w:p w:rsidR="004E2070" w:rsidRPr="00F80E37" w:rsidRDefault="004E2070" w:rsidP="007E2E51">
            <w:pPr>
              <w:jc w:val="center"/>
              <w:rPr>
                <w:rFonts w:ascii="Calibri" w:eastAsia="Times New Roman" w:hAnsi="Calibri"/>
                <w:color w:val="FFFFFF"/>
                <w:sz w:val="18"/>
                <w:szCs w:val="18"/>
              </w:rPr>
            </w:pPr>
            <w:r w:rsidRPr="00F80E37">
              <w:rPr>
                <w:rFonts w:ascii="Calibri" w:eastAsia="Times New Roman" w:hAnsi="Calibri"/>
                <w:color w:val="FFFFFF"/>
                <w:sz w:val="18"/>
                <w:szCs w:val="18"/>
                <w:lang w:eastAsia="es-MX"/>
              </w:rPr>
              <w:t>Valor Par</w:t>
            </w:r>
          </w:p>
        </w:tc>
        <w:tc>
          <w:tcPr>
            <w:tcW w:w="940" w:type="dxa"/>
            <w:tcBorders>
              <w:top w:val="nil"/>
              <w:left w:val="nil"/>
              <w:bottom w:val="single" w:sz="4" w:space="0" w:color="auto"/>
              <w:right w:val="single" w:sz="4" w:space="0" w:color="auto"/>
            </w:tcBorders>
            <w:shd w:val="clear" w:color="000000" w:fill="002060"/>
            <w:vAlign w:val="center"/>
            <w:hideMark/>
          </w:tcPr>
          <w:p w:rsidR="004E2070" w:rsidRPr="00F80E37" w:rsidRDefault="004E2070" w:rsidP="007E2E51">
            <w:pPr>
              <w:jc w:val="center"/>
              <w:rPr>
                <w:rFonts w:ascii="Calibri" w:eastAsia="Times New Roman" w:hAnsi="Calibri"/>
                <w:color w:val="FFFFFF"/>
                <w:sz w:val="18"/>
                <w:szCs w:val="18"/>
              </w:rPr>
            </w:pPr>
            <w:r w:rsidRPr="00F80E37">
              <w:rPr>
                <w:rFonts w:ascii="Calibri" w:eastAsia="Times New Roman" w:hAnsi="Calibri"/>
                <w:color w:val="FFFFFF"/>
                <w:sz w:val="18"/>
                <w:szCs w:val="18"/>
                <w:lang w:eastAsia="es-MX"/>
              </w:rPr>
              <w:t>V Nominal</w:t>
            </w:r>
          </w:p>
        </w:tc>
        <w:tc>
          <w:tcPr>
            <w:tcW w:w="1013" w:type="dxa"/>
            <w:tcBorders>
              <w:top w:val="nil"/>
              <w:left w:val="nil"/>
              <w:bottom w:val="single" w:sz="4" w:space="0" w:color="auto"/>
              <w:right w:val="single" w:sz="4" w:space="0" w:color="auto"/>
            </w:tcBorders>
            <w:shd w:val="clear" w:color="000000" w:fill="002060"/>
            <w:vAlign w:val="center"/>
            <w:hideMark/>
          </w:tcPr>
          <w:p w:rsidR="004E2070" w:rsidRPr="00F80E37" w:rsidRDefault="004E2070" w:rsidP="007E2E51">
            <w:pPr>
              <w:jc w:val="center"/>
              <w:rPr>
                <w:rFonts w:ascii="Calibri" w:eastAsia="Times New Roman" w:hAnsi="Calibri"/>
                <w:color w:val="FFFFFF"/>
                <w:sz w:val="18"/>
                <w:szCs w:val="18"/>
              </w:rPr>
            </w:pPr>
            <w:proofErr w:type="spellStart"/>
            <w:r w:rsidRPr="00F80E37">
              <w:rPr>
                <w:rFonts w:ascii="Calibri" w:eastAsia="Times New Roman" w:hAnsi="Calibri"/>
                <w:color w:val="FFFFFF"/>
                <w:sz w:val="18"/>
                <w:szCs w:val="18"/>
                <w:lang w:eastAsia="es-MX"/>
              </w:rPr>
              <w:t>Próx</w:t>
            </w:r>
            <w:proofErr w:type="spellEnd"/>
            <w:r w:rsidRPr="00F80E37">
              <w:rPr>
                <w:rFonts w:ascii="Calibri" w:eastAsia="Times New Roman" w:hAnsi="Calibri"/>
                <w:color w:val="FFFFFF"/>
                <w:sz w:val="18"/>
                <w:szCs w:val="18"/>
                <w:lang w:eastAsia="es-MX"/>
              </w:rPr>
              <w:t xml:space="preserve"> Cupón</w:t>
            </w:r>
          </w:p>
        </w:tc>
        <w:tc>
          <w:tcPr>
            <w:tcW w:w="1405" w:type="dxa"/>
            <w:tcBorders>
              <w:top w:val="nil"/>
              <w:left w:val="nil"/>
              <w:bottom w:val="single" w:sz="4" w:space="0" w:color="auto"/>
              <w:right w:val="single" w:sz="4" w:space="0" w:color="auto"/>
            </w:tcBorders>
            <w:shd w:val="clear" w:color="000000" w:fill="002060"/>
            <w:vAlign w:val="center"/>
            <w:hideMark/>
          </w:tcPr>
          <w:p w:rsidR="004E2070" w:rsidRPr="00F80E37" w:rsidRDefault="004E2070" w:rsidP="007E2E51">
            <w:pPr>
              <w:jc w:val="center"/>
              <w:rPr>
                <w:rFonts w:ascii="Calibri" w:eastAsia="Times New Roman" w:hAnsi="Calibri"/>
                <w:color w:val="FFFFFF"/>
                <w:sz w:val="18"/>
                <w:szCs w:val="18"/>
              </w:rPr>
            </w:pPr>
            <w:r w:rsidRPr="00F80E37">
              <w:rPr>
                <w:rFonts w:ascii="Calibri" w:eastAsia="Times New Roman" w:hAnsi="Calibri"/>
                <w:color w:val="FFFFFF"/>
                <w:sz w:val="18"/>
                <w:szCs w:val="18"/>
                <w:lang w:eastAsia="es-MX"/>
              </w:rPr>
              <w:t xml:space="preserve">Fecha Pago </w:t>
            </w:r>
            <w:proofErr w:type="spellStart"/>
            <w:r w:rsidRPr="00F80E37">
              <w:rPr>
                <w:rFonts w:ascii="Calibri" w:eastAsia="Times New Roman" w:hAnsi="Calibri"/>
                <w:color w:val="FFFFFF"/>
                <w:sz w:val="18"/>
                <w:szCs w:val="18"/>
                <w:lang w:eastAsia="es-MX"/>
              </w:rPr>
              <w:t>Próx</w:t>
            </w:r>
            <w:proofErr w:type="spellEnd"/>
            <w:r w:rsidRPr="00F80E37">
              <w:rPr>
                <w:rFonts w:ascii="Calibri" w:eastAsia="Times New Roman" w:hAnsi="Calibri"/>
                <w:color w:val="FFFFFF"/>
                <w:sz w:val="18"/>
                <w:szCs w:val="18"/>
                <w:lang w:eastAsia="es-MX"/>
              </w:rPr>
              <w:t xml:space="preserve"> Cupón</w:t>
            </w:r>
          </w:p>
        </w:tc>
        <w:tc>
          <w:tcPr>
            <w:tcW w:w="1013" w:type="dxa"/>
            <w:tcBorders>
              <w:top w:val="nil"/>
              <w:left w:val="nil"/>
              <w:bottom w:val="single" w:sz="4" w:space="0" w:color="auto"/>
              <w:right w:val="single" w:sz="4" w:space="0" w:color="auto"/>
            </w:tcBorders>
            <w:shd w:val="clear" w:color="000000" w:fill="002060"/>
            <w:vAlign w:val="center"/>
            <w:hideMark/>
          </w:tcPr>
          <w:p w:rsidR="004E2070" w:rsidRPr="00F80E37" w:rsidRDefault="004E2070" w:rsidP="007E2E51">
            <w:pPr>
              <w:jc w:val="center"/>
              <w:rPr>
                <w:rFonts w:ascii="Calibri" w:eastAsia="Times New Roman" w:hAnsi="Calibri"/>
                <w:color w:val="FFFFFF"/>
                <w:sz w:val="18"/>
                <w:szCs w:val="18"/>
              </w:rPr>
            </w:pPr>
            <w:r w:rsidRPr="00F80E37">
              <w:rPr>
                <w:rFonts w:ascii="Calibri" w:eastAsia="Times New Roman" w:hAnsi="Calibri"/>
                <w:color w:val="FFFFFF"/>
                <w:sz w:val="18"/>
                <w:szCs w:val="18"/>
                <w:lang w:eastAsia="es-MX"/>
              </w:rPr>
              <w:t>Legislación</w:t>
            </w:r>
          </w:p>
        </w:tc>
        <w:tc>
          <w:tcPr>
            <w:tcW w:w="885" w:type="dxa"/>
            <w:tcBorders>
              <w:top w:val="nil"/>
              <w:left w:val="nil"/>
              <w:bottom w:val="single" w:sz="4" w:space="0" w:color="auto"/>
              <w:right w:val="single" w:sz="4" w:space="0" w:color="auto"/>
            </w:tcBorders>
            <w:shd w:val="clear" w:color="000000" w:fill="002060"/>
            <w:vAlign w:val="center"/>
            <w:hideMark/>
          </w:tcPr>
          <w:p w:rsidR="004E2070" w:rsidRPr="00F80E37" w:rsidRDefault="004E2070" w:rsidP="007E2E51">
            <w:pPr>
              <w:jc w:val="center"/>
              <w:rPr>
                <w:rFonts w:ascii="Calibri" w:eastAsia="Times New Roman" w:hAnsi="Calibri"/>
                <w:color w:val="FFFFFF"/>
                <w:sz w:val="18"/>
                <w:szCs w:val="18"/>
              </w:rPr>
            </w:pPr>
            <w:r w:rsidRPr="00F80E37">
              <w:rPr>
                <w:rFonts w:ascii="Calibri" w:eastAsia="Times New Roman" w:hAnsi="Calibri"/>
                <w:color w:val="FFFFFF"/>
                <w:sz w:val="18"/>
                <w:szCs w:val="18"/>
                <w:lang w:eastAsia="es-MX"/>
              </w:rPr>
              <w:t>Ganancia % VN</w:t>
            </w:r>
          </w:p>
        </w:tc>
        <w:tc>
          <w:tcPr>
            <w:tcW w:w="885" w:type="dxa"/>
            <w:tcBorders>
              <w:top w:val="nil"/>
              <w:left w:val="nil"/>
              <w:bottom w:val="single" w:sz="4" w:space="0" w:color="auto"/>
              <w:right w:val="single" w:sz="4" w:space="0" w:color="auto"/>
            </w:tcBorders>
            <w:shd w:val="clear" w:color="000000" w:fill="002060"/>
            <w:vAlign w:val="center"/>
            <w:hideMark/>
          </w:tcPr>
          <w:p w:rsidR="004E2070" w:rsidRPr="00F80E37" w:rsidRDefault="004E2070" w:rsidP="007E2E51">
            <w:pPr>
              <w:jc w:val="center"/>
              <w:rPr>
                <w:rFonts w:ascii="Calibri" w:eastAsia="Times New Roman" w:hAnsi="Calibri"/>
                <w:color w:val="FFFFFF"/>
                <w:sz w:val="18"/>
                <w:szCs w:val="18"/>
              </w:rPr>
            </w:pPr>
            <w:r w:rsidRPr="00F80E37">
              <w:rPr>
                <w:rFonts w:ascii="Calibri" w:eastAsia="Times New Roman" w:hAnsi="Calibri"/>
                <w:color w:val="FFFFFF"/>
                <w:sz w:val="18"/>
                <w:szCs w:val="18"/>
                <w:lang w:eastAsia="es-MX"/>
              </w:rPr>
              <w:t>Ganancia VN</w:t>
            </w:r>
          </w:p>
        </w:tc>
      </w:tr>
      <w:tr w:rsidR="004E2070" w:rsidRPr="00F80E37" w:rsidTr="007E2E51">
        <w:trPr>
          <w:trHeight w:val="305"/>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4E2070" w:rsidRPr="00F80E37" w:rsidRDefault="004E2070" w:rsidP="007E2E51">
            <w:pPr>
              <w:rPr>
                <w:rFonts w:ascii="Calibri" w:eastAsia="Times New Roman" w:hAnsi="Calibri"/>
                <w:b/>
                <w:bCs/>
                <w:color w:val="000000"/>
                <w:sz w:val="18"/>
                <w:szCs w:val="18"/>
              </w:rPr>
            </w:pPr>
            <w:r w:rsidRPr="00F80E37">
              <w:rPr>
                <w:rFonts w:ascii="Calibri" w:eastAsia="Times New Roman" w:hAnsi="Calibri"/>
                <w:b/>
                <w:bCs/>
                <w:color w:val="000000"/>
                <w:sz w:val="18"/>
                <w:szCs w:val="18"/>
                <w:lang w:eastAsia="es-MX"/>
              </w:rPr>
              <w:t>PARY</w:t>
            </w:r>
          </w:p>
        </w:tc>
        <w:tc>
          <w:tcPr>
            <w:tcW w:w="756"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color w:val="000000"/>
                <w:sz w:val="18"/>
                <w:szCs w:val="18"/>
              </w:rPr>
            </w:pPr>
            <w:r w:rsidRPr="00F80E37">
              <w:rPr>
                <w:rFonts w:ascii="Calibri" w:eastAsia="Times New Roman" w:hAnsi="Calibri"/>
                <w:color w:val="000000"/>
                <w:sz w:val="18"/>
                <w:szCs w:val="18"/>
                <w:lang w:eastAsia="es-MX"/>
              </w:rPr>
              <w:t>45</w:t>
            </w:r>
          </w:p>
        </w:tc>
        <w:tc>
          <w:tcPr>
            <w:tcW w:w="646"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color w:val="000000"/>
                <w:sz w:val="18"/>
                <w:szCs w:val="18"/>
              </w:rPr>
            </w:pPr>
            <w:r w:rsidRPr="00F80E37">
              <w:rPr>
                <w:rFonts w:ascii="Calibri" w:eastAsia="Times New Roman" w:hAnsi="Calibri"/>
                <w:color w:val="000000"/>
                <w:sz w:val="18"/>
                <w:szCs w:val="18"/>
                <w:lang w:eastAsia="es-MX"/>
              </w:rPr>
              <w:t>1</w:t>
            </w:r>
          </w:p>
        </w:tc>
        <w:tc>
          <w:tcPr>
            <w:tcW w:w="940"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color w:val="000000"/>
                <w:sz w:val="18"/>
                <w:szCs w:val="18"/>
              </w:rPr>
            </w:pPr>
            <w:r w:rsidRPr="00F80E37">
              <w:rPr>
                <w:rFonts w:ascii="Calibri" w:eastAsia="Times New Roman" w:hAnsi="Calibri"/>
                <w:color w:val="000000"/>
                <w:sz w:val="18"/>
                <w:szCs w:val="18"/>
                <w:lang w:eastAsia="es-MX"/>
              </w:rPr>
              <w:t>953.778</w:t>
            </w:r>
          </w:p>
        </w:tc>
        <w:tc>
          <w:tcPr>
            <w:tcW w:w="1013"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color w:val="000000"/>
                <w:sz w:val="18"/>
                <w:szCs w:val="18"/>
              </w:rPr>
            </w:pPr>
            <w:r w:rsidRPr="00F80E37">
              <w:rPr>
                <w:rFonts w:ascii="Calibri" w:eastAsia="Times New Roman" w:hAnsi="Calibri"/>
                <w:color w:val="000000"/>
                <w:sz w:val="18"/>
                <w:szCs w:val="18"/>
                <w:lang w:eastAsia="es-MX"/>
              </w:rPr>
              <w:t xml:space="preserve"> $   17.883 </w:t>
            </w:r>
          </w:p>
        </w:tc>
        <w:tc>
          <w:tcPr>
            <w:tcW w:w="1405"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color w:val="000000"/>
                <w:sz w:val="18"/>
                <w:szCs w:val="18"/>
              </w:rPr>
            </w:pPr>
            <w:r w:rsidRPr="00F80E37">
              <w:rPr>
                <w:rFonts w:ascii="Calibri" w:eastAsia="Times New Roman" w:hAnsi="Calibri"/>
                <w:color w:val="000000"/>
                <w:sz w:val="18"/>
                <w:szCs w:val="18"/>
                <w:lang w:eastAsia="es-MX"/>
              </w:rPr>
              <w:t>30-Sep</w:t>
            </w:r>
          </w:p>
        </w:tc>
        <w:tc>
          <w:tcPr>
            <w:tcW w:w="1013"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b/>
                <w:bCs/>
                <w:color w:val="00B050"/>
                <w:sz w:val="18"/>
                <w:szCs w:val="18"/>
              </w:rPr>
            </w:pPr>
            <w:r w:rsidRPr="00F80E37">
              <w:rPr>
                <w:rFonts w:ascii="Calibri" w:eastAsia="Times New Roman" w:hAnsi="Calibri"/>
                <w:b/>
                <w:bCs/>
                <w:color w:val="00B050"/>
                <w:sz w:val="18"/>
                <w:szCs w:val="18"/>
                <w:lang w:eastAsia="es-MX"/>
              </w:rPr>
              <w:t xml:space="preserve">NYC </w:t>
            </w:r>
          </w:p>
        </w:tc>
        <w:tc>
          <w:tcPr>
            <w:tcW w:w="885"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color w:val="000000"/>
                <w:sz w:val="18"/>
                <w:szCs w:val="18"/>
              </w:rPr>
            </w:pPr>
            <w:r w:rsidRPr="00F80E37">
              <w:rPr>
                <w:rFonts w:ascii="Calibri" w:eastAsia="Times New Roman" w:hAnsi="Calibri"/>
                <w:color w:val="000000"/>
                <w:sz w:val="18"/>
                <w:szCs w:val="18"/>
                <w:lang w:eastAsia="es-MX"/>
              </w:rPr>
              <w:t>14,44%</w:t>
            </w:r>
          </w:p>
        </w:tc>
        <w:tc>
          <w:tcPr>
            <w:tcW w:w="885"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color w:val="000000"/>
                <w:sz w:val="18"/>
                <w:szCs w:val="18"/>
              </w:rPr>
            </w:pPr>
            <w:r w:rsidRPr="00F80E37">
              <w:rPr>
                <w:rFonts w:ascii="Calibri" w:eastAsia="Times New Roman" w:hAnsi="Calibri"/>
                <w:color w:val="000000"/>
                <w:sz w:val="18"/>
                <w:szCs w:val="18"/>
                <w:lang w:eastAsia="es-MX"/>
              </w:rPr>
              <w:t>120.378</w:t>
            </w:r>
          </w:p>
        </w:tc>
      </w:tr>
      <w:tr w:rsidR="004E2070" w:rsidRPr="00F80E37" w:rsidTr="007E2E51">
        <w:trPr>
          <w:trHeight w:val="305"/>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4E2070" w:rsidRPr="00F80E37" w:rsidRDefault="004E2070" w:rsidP="007E2E51">
            <w:pPr>
              <w:rPr>
                <w:rFonts w:ascii="Calibri" w:eastAsia="Times New Roman" w:hAnsi="Calibri"/>
                <w:b/>
                <w:bCs/>
                <w:color w:val="000000"/>
                <w:sz w:val="18"/>
                <w:szCs w:val="18"/>
              </w:rPr>
            </w:pPr>
            <w:r w:rsidRPr="00F80E37">
              <w:rPr>
                <w:rFonts w:ascii="Calibri" w:eastAsia="Times New Roman" w:hAnsi="Calibri"/>
                <w:b/>
                <w:bCs/>
                <w:color w:val="000000"/>
                <w:sz w:val="18"/>
                <w:szCs w:val="18"/>
                <w:lang w:eastAsia="es-MX"/>
              </w:rPr>
              <w:t>AA46</w:t>
            </w:r>
          </w:p>
        </w:tc>
        <w:tc>
          <w:tcPr>
            <w:tcW w:w="756"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color w:val="000000"/>
                <w:sz w:val="18"/>
                <w:szCs w:val="18"/>
              </w:rPr>
            </w:pPr>
            <w:r w:rsidRPr="00F80E37">
              <w:rPr>
                <w:rFonts w:ascii="Calibri" w:eastAsia="Times New Roman" w:hAnsi="Calibri"/>
                <w:color w:val="000000"/>
                <w:sz w:val="18"/>
                <w:szCs w:val="18"/>
                <w:lang w:eastAsia="es-MX"/>
              </w:rPr>
              <w:t>47,55</w:t>
            </w:r>
          </w:p>
        </w:tc>
        <w:tc>
          <w:tcPr>
            <w:tcW w:w="646"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color w:val="000000"/>
                <w:sz w:val="18"/>
                <w:szCs w:val="18"/>
              </w:rPr>
            </w:pPr>
            <w:r w:rsidRPr="00F80E37">
              <w:rPr>
                <w:rFonts w:ascii="Calibri" w:eastAsia="Times New Roman" w:hAnsi="Calibri"/>
                <w:color w:val="000000"/>
                <w:sz w:val="18"/>
                <w:szCs w:val="18"/>
                <w:lang w:eastAsia="es-MX"/>
              </w:rPr>
              <w:t>1</w:t>
            </w:r>
          </w:p>
        </w:tc>
        <w:tc>
          <w:tcPr>
            <w:tcW w:w="940"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color w:val="000000"/>
                <w:sz w:val="18"/>
                <w:szCs w:val="18"/>
              </w:rPr>
            </w:pPr>
            <w:r w:rsidRPr="00F80E37">
              <w:rPr>
                <w:rFonts w:ascii="Calibri" w:eastAsia="Times New Roman" w:hAnsi="Calibri"/>
                <w:color w:val="000000"/>
                <w:sz w:val="18"/>
                <w:szCs w:val="18"/>
                <w:lang w:eastAsia="es-MX"/>
              </w:rPr>
              <w:t>902.629</w:t>
            </w:r>
          </w:p>
        </w:tc>
        <w:tc>
          <w:tcPr>
            <w:tcW w:w="1013"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color w:val="000000"/>
                <w:sz w:val="18"/>
                <w:szCs w:val="18"/>
              </w:rPr>
            </w:pPr>
            <w:r w:rsidRPr="00F80E37">
              <w:rPr>
                <w:rFonts w:ascii="Calibri" w:eastAsia="Times New Roman" w:hAnsi="Calibri"/>
                <w:color w:val="000000"/>
                <w:sz w:val="18"/>
                <w:szCs w:val="18"/>
                <w:lang w:eastAsia="es-MX"/>
              </w:rPr>
              <w:t xml:space="preserve"> $    34.412 </w:t>
            </w:r>
          </w:p>
        </w:tc>
        <w:tc>
          <w:tcPr>
            <w:tcW w:w="1405"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color w:val="000000"/>
                <w:sz w:val="18"/>
                <w:szCs w:val="18"/>
              </w:rPr>
            </w:pPr>
            <w:r w:rsidRPr="00F80E37">
              <w:rPr>
                <w:rFonts w:ascii="Calibri" w:eastAsia="Times New Roman" w:hAnsi="Calibri"/>
                <w:color w:val="000000"/>
                <w:sz w:val="18"/>
                <w:szCs w:val="18"/>
                <w:lang w:eastAsia="es-MX"/>
              </w:rPr>
              <w:t>22-Oct</w:t>
            </w:r>
          </w:p>
        </w:tc>
        <w:tc>
          <w:tcPr>
            <w:tcW w:w="1013"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b/>
                <w:bCs/>
                <w:color w:val="00B050"/>
                <w:sz w:val="18"/>
                <w:szCs w:val="18"/>
              </w:rPr>
            </w:pPr>
            <w:r w:rsidRPr="00F80E37">
              <w:rPr>
                <w:rFonts w:ascii="Calibri" w:eastAsia="Times New Roman" w:hAnsi="Calibri"/>
                <w:b/>
                <w:bCs/>
                <w:color w:val="00B050"/>
                <w:sz w:val="18"/>
                <w:szCs w:val="18"/>
                <w:lang w:eastAsia="es-MX"/>
              </w:rPr>
              <w:t xml:space="preserve">NYC </w:t>
            </w:r>
          </w:p>
        </w:tc>
        <w:tc>
          <w:tcPr>
            <w:tcW w:w="885"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color w:val="000000"/>
                <w:sz w:val="18"/>
                <w:szCs w:val="18"/>
              </w:rPr>
            </w:pPr>
            <w:r w:rsidRPr="00F80E37">
              <w:rPr>
                <w:rFonts w:ascii="Calibri" w:eastAsia="Times New Roman" w:hAnsi="Calibri"/>
                <w:color w:val="000000"/>
                <w:sz w:val="18"/>
                <w:szCs w:val="18"/>
                <w:lang w:eastAsia="es-MX"/>
              </w:rPr>
              <w:t>8,31%</w:t>
            </w:r>
          </w:p>
        </w:tc>
        <w:tc>
          <w:tcPr>
            <w:tcW w:w="885"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color w:val="000000"/>
                <w:sz w:val="18"/>
                <w:szCs w:val="18"/>
              </w:rPr>
            </w:pPr>
            <w:r w:rsidRPr="00F80E37">
              <w:rPr>
                <w:rFonts w:ascii="Calibri" w:eastAsia="Times New Roman" w:hAnsi="Calibri"/>
                <w:color w:val="000000"/>
                <w:sz w:val="18"/>
                <w:szCs w:val="18"/>
                <w:lang w:eastAsia="es-MX"/>
              </w:rPr>
              <w:t>69.229</w:t>
            </w:r>
          </w:p>
        </w:tc>
      </w:tr>
      <w:tr w:rsidR="004E2070" w:rsidRPr="00F80E37" w:rsidTr="007E2E51">
        <w:trPr>
          <w:trHeight w:val="305"/>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4E2070" w:rsidRPr="00F80E37" w:rsidRDefault="004E2070" w:rsidP="007E2E51">
            <w:pPr>
              <w:rPr>
                <w:rFonts w:ascii="Calibri" w:eastAsia="Times New Roman" w:hAnsi="Calibri"/>
                <w:b/>
                <w:bCs/>
                <w:color w:val="000000"/>
                <w:sz w:val="18"/>
                <w:szCs w:val="18"/>
              </w:rPr>
            </w:pPr>
            <w:r w:rsidRPr="00F80E37">
              <w:rPr>
                <w:rFonts w:ascii="Calibri" w:eastAsia="Times New Roman" w:hAnsi="Calibri"/>
                <w:b/>
                <w:bCs/>
                <w:color w:val="000000"/>
                <w:sz w:val="18"/>
                <w:szCs w:val="18"/>
                <w:lang w:eastAsia="es-MX"/>
              </w:rPr>
              <w:t>PARA</w:t>
            </w:r>
          </w:p>
        </w:tc>
        <w:tc>
          <w:tcPr>
            <w:tcW w:w="756"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color w:val="000000"/>
                <w:sz w:val="18"/>
                <w:szCs w:val="18"/>
              </w:rPr>
            </w:pPr>
            <w:r w:rsidRPr="00F80E37">
              <w:rPr>
                <w:rFonts w:ascii="Calibri" w:eastAsia="Times New Roman" w:hAnsi="Calibri"/>
                <w:color w:val="000000"/>
                <w:sz w:val="18"/>
                <w:szCs w:val="18"/>
                <w:lang w:eastAsia="es-MX"/>
              </w:rPr>
              <w:t>38</w:t>
            </w:r>
          </w:p>
        </w:tc>
        <w:tc>
          <w:tcPr>
            <w:tcW w:w="646"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color w:val="000000"/>
                <w:sz w:val="18"/>
                <w:szCs w:val="18"/>
              </w:rPr>
            </w:pPr>
            <w:r w:rsidRPr="00F80E37">
              <w:rPr>
                <w:rFonts w:ascii="Calibri" w:eastAsia="Times New Roman" w:hAnsi="Calibri"/>
                <w:color w:val="000000"/>
                <w:sz w:val="18"/>
                <w:szCs w:val="18"/>
                <w:lang w:eastAsia="es-MX"/>
              </w:rPr>
              <w:t>1</w:t>
            </w:r>
          </w:p>
        </w:tc>
        <w:tc>
          <w:tcPr>
            <w:tcW w:w="940"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color w:val="000000"/>
                <w:sz w:val="18"/>
                <w:szCs w:val="18"/>
              </w:rPr>
            </w:pPr>
            <w:r w:rsidRPr="00F80E37">
              <w:rPr>
                <w:rFonts w:ascii="Calibri" w:eastAsia="Times New Roman" w:hAnsi="Calibri"/>
                <w:color w:val="000000"/>
                <w:sz w:val="18"/>
                <w:szCs w:val="18"/>
                <w:lang w:eastAsia="es-MX"/>
              </w:rPr>
              <w:t>1.129.474</w:t>
            </w:r>
          </w:p>
        </w:tc>
        <w:tc>
          <w:tcPr>
            <w:tcW w:w="1013"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color w:val="000000"/>
                <w:sz w:val="18"/>
                <w:szCs w:val="18"/>
              </w:rPr>
            </w:pPr>
            <w:r w:rsidRPr="00F80E37">
              <w:rPr>
                <w:rFonts w:ascii="Calibri" w:eastAsia="Times New Roman" w:hAnsi="Calibri"/>
                <w:color w:val="000000"/>
                <w:sz w:val="18"/>
                <w:szCs w:val="18"/>
                <w:lang w:eastAsia="es-MX"/>
              </w:rPr>
              <w:t xml:space="preserve"> $   21.177 </w:t>
            </w:r>
          </w:p>
        </w:tc>
        <w:tc>
          <w:tcPr>
            <w:tcW w:w="1405"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color w:val="000000"/>
                <w:sz w:val="18"/>
                <w:szCs w:val="18"/>
              </w:rPr>
            </w:pPr>
            <w:r w:rsidRPr="00F80E37">
              <w:rPr>
                <w:rFonts w:ascii="Calibri" w:eastAsia="Times New Roman" w:hAnsi="Calibri"/>
                <w:color w:val="000000"/>
                <w:sz w:val="18"/>
                <w:szCs w:val="18"/>
                <w:lang w:eastAsia="es-MX"/>
              </w:rPr>
              <w:t>30-Sep</w:t>
            </w:r>
          </w:p>
        </w:tc>
        <w:tc>
          <w:tcPr>
            <w:tcW w:w="1013"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b/>
                <w:bCs/>
                <w:color w:val="4F81BD"/>
                <w:sz w:val="18"/>
                <w:szCs w:val="18"/>
              </w:rPr>
            </w:pPr>
            <w:r w:rsidRPr="00F80E37">
              <w:rPr>
                <w:rFonts w:ascii="Calibri" w:eastAsia="Times New Roman" w:hAnsi="Calibri"/>
                <w:b/>
                <w:bCs/>
                <w:color w:val="4F81BD"/>
                <w:sz w:val="18"/>
                <w:szCs w:val="18"/>
                <w:lang w:eastAsia="es-MX"/>
              </w:rPr>
              <w:t xml:space="preserve">ARG </w:t>
            </w:r>
          </w:p>
        </w:tc>
        <w:tc>
          <w:tcPr>
            <w:tcW w:w="885"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color w:val="000000"/>
                <w:sz w:val="18"/>
                <w:szCs w:val="18"/>
              </w:rPr>
            </w:pPr>
            <w:r w:rsidRPr="00F80E37">
              <w:rPr>
                <w:rFonts w:ascii="Calibri" w:eastAsia="Times New Roman" w:hAnsi="Calibri"/>
                <w:color w:val="000000"/>
                <w:sz w:val="18"/>
                <w:szCs w:val="18"/>
                <w:lang w:eastAsia="es-MX"/>
              </w:rPr>
              <w:t>35,53%</w:t>
            </w:r>
          </w:p>
        </w:tc>
        <w:tc>
          <w:tcPr>
            <w:tcW w:w="885" w:type="dxa"/>
            <w:tcBorders>
              <w:top w:val="nil"/>
              <w:left w:val="nil"/>
              <w:bottom w:val="single" w:sz="4" w:space="0" w:color="auto"/>
              <w:right w:val="single" w:sz="4" w:space="0" w:color="auto"/>
            </w:tcBorders>
            <w:shd w:val="clear" w:color="auto" w:fill="auto"/>
            <w:noWrap/>
            <w:vAlign w:val="bottom"/>
            <w:hideMark/>
          </w:tcPr>
          <w:p w:rsidR="004E2070" w:rsidRPr="00F80E37" w:rsidRDefault="004E2070" w:rsidP="007E2E51">
            <w:pPr>
              <w:jc w:val="center"/>
              <w:rPr>
                <w:rFonts w:ascii="Calibri" w:eastAsia="Times New Roman" w:hAnsi="Calibri"/>
                <w:color w:val="000000"/>
                <w:sz w:val="18"/>
                <w:szCs w:val="18"/>
              </w:rPr>
            </w:pPr>
            <w:r w:rsidRPr="00F80E37">
              <w:rPr>
                <w:rFonts w:ascii="Calibri" w:eastAsia="Times New Roman" w:hAnsi="Calibri"/>
                <w:color w:val="000000"/>
                <w:sz w:val="18"/>
                <w:szCs w:val="18"/>
                <w:lang w:eastAsia="es-MX"/>
              </w:rPr>
              <w:t>296.074</w:t>
            </w:r>
          </w:p>
        </w:tc>
      </w:tr>
    </w:tbl>
    <w:p w:rsidR="004E2070" w:rsidRDefault="004E2070" w:rsidP="004E2070">
      <w:pPr>
        <w:spacing w:line="360" w:lineRule="auto"/>
        <w:rPr>
          <w:rFonts w:ascii="Arial" w:eastAsia="Times New Roman" w:hAnsi="Arial" w:cs="Arial"/>
          <w:b/>
          <w:bCs/>
          <w:color w:val="666666"/>
          <w:sz w:val="20"/>
          <w:szCs w:val="20"/>
        </w:rPr>
      </w:pPr>
    </w:p>
    <w:p w:rsidR="004E2070" w:rsidRDefault="004E2070" w:rsidP="004E2070">
      <w:pPr>
        <w:spacing w:line="360" w:lineRule="auto"/>
        <w:jc w:val="both"/>
        <w:rPr>
          <w:rFonts w:ascii="Arial" w:eastAsia="Times New Roman" w:hAnsi="Arial" w:cs="Arial"/>
          <w:b/>
          <w:bCs/>
          <w:color w:val="666666"/>
          <w:sz w:val="20"/>
          <w:szCs w:val="20"/>
        </w:rPr>
      </w:pPr>
      <w:r w:rsidRPr="004E2070">
        <w:rPr>
          <w:rFonts w:ascii="Arial" w:eastAsia="Times New Roman" w:hAnsi="Arial" w:cs="Arial"/>
          <w:b/>
          <w:bCs/>
          <w:color w:val="666666"/>
          <w:sz w:val="20"/>
          <w:szCs w:val="20"/>
        </w:rPr>
        <w:t xml:space="preserve">En el ejercicio planteado arriba tomamos los títulos de menor paridad en ambas legislaciones Ley Nueva York y Ley Argentina. Lo que podemos ver es que en el caso de Ley Nueva York conviene el bono Par en Dólares Ley Nueva York (PARY) porque genera una mayor ganancia de nominales y es el título que paga cupón más próximamente. El Global 2046 (AA46) es otra opción a monitorear, pero en función de los precios  actuales, el PARY resulta más atractivo porque genera una ganancia de nominales considerablemente mayor. No obstante un tema no menor es que el AA46 paga el doble de cupón que el PARY, pero un poco más adelante en el tiempo. El Bono </w:t>
      </w:r>
      <w:proofErr w:type="spellStart"/>
      <w:r w:rsidRPr="004E2070">
        <w:rPr>
          <w:rFonts w:ascii="Arial" w:eastAsia="Times New Roman" w:hAnsi="Arial" w:cs="Arial"/>
          <w:b/>
          <w:bCs/>
          <w:color w:val="666666"/>
          <w:sz w:val="20"/>
          <w:szCs w:val="20"/>
        </w:rPr>
        <w:t>Pár</w:t>
      </w:r>
      <w:proofErr w:type="spellEnd"/>
      <w:r w:rsidRPr="004E2070">
        <w:rPr>
          <w:rFonts w:ascii="Arial" w:eastAsia="Times New Roman" w:hAnsi="Arial" w:cs="Arial"/>
          <w:b/>
          <w:bCs/>
          <w:color w:val="666666"/>
          <w:sz w:val="20"/>
          <w:szCs w:val="20"/>
        </w:rPr>
        <w:t xml:space="preserve"> en su versión Ley ARG (PARA), también nos resulta interesante por su bajísima paridad aunque hay que tener en cuenta que la legislación local introduce un riesgo adicional en una renegociación de deuda. Tomando eso en cuenta, el Bono PARA es el que genera mayor ganancia de nominales (+35,5%). Es un excelente momento para ejecutar este arbitraje ya que el (AY24) recuperó </w:t>
      </w:r>
      <w:r w:rsidRPr="004E2070">
        <w:rPr>
          <w:rFonts w:ascii="Arial" w:eastAsia="Times New Roman" w:hAnsi="Arial" w:cs="Arial"/>
          <w:b/>
          <w:bCs/>
          <w:color w:val="666666"/>
          <w:sz w:val="20"/>
          <w:szCs w:val="20"/>
        </w:rPr>
        <w:lastRenderedPageBreak/>
        <w:t xml:space="preserve">en las últimas jornadas generando nuevamente una diferencia grande de paridad respecto a estos títulos. </w:t>
      </w:r>
    </w:p>
    <w:p w:rsidR="004E2070" w:rsidRDefault="004E2070" w:rsidP="004E2070">
      <w:pPr>
        <w:spacing w:line="360" w:lineRule="auto"/>
        <w:jc w:val="both"/>
        <w:rPr>
          <w:rFonts w:ascii="Arial" w:eastAsia="Times New Roman" w:hAnsi="Arial" w:cs="Arial"/>
          <w:b/>
          <w:bCs/>
          <w:color w:val="666666"/>
          <w:sz w:val="20"/>
          <w:szCs w:val="20"/>
        </w:rPr>
      </w:pPr>
    </w:p>
    <w:p w:rsidR="004E2070" w:rsidRDefault="004E2070" w:rsidP="004E2070">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ÍNDICE DE PRECIOS AL CONSUMIDOR. AGOSTO DE 2019</w:t>
      </w:r>
    </w:p>
    <w:p w:rsidR="004E2070" w:rsidRDefault="004E2070" w:rsidP="004E2070">
      <w:pPr>
        <w:pStyle w:val="NormalWeb"/>
        <w:spacing w:before="0" w:beforeAutospacing="0" w:after="0" w:afterAutospacing="0"/>
        <w:jc w:val="both"/>
        <w:rPr>
          <w:rFonts w:ascii="Arial" w:hAnsi="Arial" w:cs="Arial"/>
          <w:b/>
          <w:bCs/>
          <w:caps/>
          <w:color w:val="376889"/>
          <w:sz w:val="21"/>
          <w:szCs w:val="21"/>
        </w:rPr>
      </w:pPr>
    </w:p>
    <w:p w:rsidR="004E2070" w:rsidRDefault="004E2070" w:rsidP="004E2070">
      <w:pPr>
        <w:spacing w:line="360" w:lineRule="auto"/>
        <w:jc w:val="both"/>
        <w:rPr>
          <w:rFonts w:ascii="Arial" w:eastAsia="Times New Roman" w:hAnsi="Arial" w:cs="Arial"/>
          <w:b/>
          <w:bCs/>
          <w:color w:val="666666"/>
          <w:sz w:val="20"/>
          <w:szCs w:val="20"/>
        </w:rPr>
      </w:pPr>
      <w:r w:rsidRPr="004E2070">
        <w:rPr>
          <w:rFonts w:ascii="Arial" w:eastAsia="Times New Roman" w:hAnsi="Arial" w:cs="Arial"/>
          <w:b/>
          <w:bCs/>
          <w:color w:val="666666"/>
          <w:sz w:val="20"/>
          <w:szCs w:val="20"/>
        </w:rPr>
        <w:t>El Instituto Nacional de Estadística y Censos (INDEC) ha difundido el "Índice de Precios al Consumidor", representativo del ámbito nacional, para el mes de agosto de 2019, el cual registra una variación del 4% en su nivel general con relación al mes de julio de 2019.</w:t>
      </w:r>
    </w:p>
    <w:p w:rsidR="004E2070" w:rsidRPr="004E2070" w:rsidRDefault="004E2070" w:rsidP="004E2070">
      <w:pPr>
        <w:spacing w:line="360" w:lineRule="auto"/>
        <w:jc w:val="both"/>
        <w:rPr>
          <w:rFonts w:ascii="Arial" w:eastAsia="Times New Roman" w:hAnsi="Arial" w:cs="Arial"/>
          <w:b/>
          <w:bCs/>
          <w:color w:val="666666"/>
          <w:sz w:val="20"/>
          <w:szCs w:val="20"/>
        </w:rPr>
      </w:pPr>
      <w:r>
        <w:rPr>
          <w:rFonts w:ascii="Arial" w:eastAsia="Times New Roman" w:hAnsi="Arial" w:cs="Arial"/>
          <w:b/>
          <w:bCs/>
          <w:color w:val="666666"/>
          <w:sz w:val="20"/>
          <w:szCs w:val="20"/>
        </w:rPr>
        <w:t>Con este guarismo el incremento anual del IPC no alcanza el 55% razón por la cual los Balances que cierran su ejercicio anual el 31/08/19 no aplicarán el Ajuste por Inflación Impositivo.</w:t>
      </w:r>
    </w:p>
    <w:p w:rsidR="004E2070" w:rsidRPr="004E2070" w:rsidRDefault="004E2070" w:rsidP="004E2070">
      <w:pPr>
        <w:spacing w:line="360" w:lineRule="auto"/>
        <w:jc w:val="both"/>
        <w:rPr>
          <w:rFonts w:ascii="Arial" w:eastAsia="Times New Roman" w:hAnsi="Arial" w:cs="Arial"/>
          <w:b/>
          <w:bCs/>
          <w:color w:val="666666"/>
          <w:sz w:val="20"/>
          <w:szCs w:val="20"/>
        </w:rPr>
      </w:pPr>
      <w:r w:rsidRPr="004E2070">
        <w:rPr>
          <w:rFonts w:ascii="Arial" w:eastAsia="Times New Roman" w:hAnsi="Arial" w:cs="Arial"/>
          <w:b/>
          <w:bCs/>
          <w:color w:val="666666"/>
          <w:sz w:val="20"/>
          <w:szCs w:val="20"/>
        </w:rPr>
        <w:fldChar w:fldCharType="begin"/>
      </w:r>
      <w:r w:rsidRPr="004E2070">
        <w:rPr>
          <w:rFonts w:ascii="Arial" w:eastAsia="Times New Roman" w:hAnsi="Arial" w:cs="Arial"/>
          <w:b/>
          <w:bCs/>
          <w:color w:val="666666"/>
          <w:sz w:val="20"/>
          <w:szCs w:val="20"/>
        </w:rPr>
        <w:instrText xml:space="preserve"> HYPERLINK "http://eol.errepar.com/sitios/Contenidos/PDF/2019/09/12/AFIP-Monotributistas.pdf" \l "page=1" \o "Página 1" </w:instrText>
      </w:r>
      <w:r w:rsidRPr="004E2070">
        <w:rPr>
          <w:rFonts w:ascii="Arial" w:eastAsia="Times New Roman" w:hAnsi="Arial" w:cs="Arial"/>
          <w:b/>
          <w:bCs/>
          <w:color w:val="666666"/>
          <w:sz w:val="20"/>
          <w:szCs w:val="20"/>
        </w:rPr>
        <w:fldChar w:fldCharType="separate"/>
      </w:r>
    </w:p>
    <w:p w:rsidR="004E2070" w:rsidRPr="004E2070" w:rsidRDefault="004E2070" w:rsidP="004E2070">
      <w:pPr>
        <w:spacing w:line="360" w:lineRule="auto"/>
        <w:jc w:val="both"/>
        <w:rPr>
          <w:rFonts w:ascii="Arial" w:eastAsia="Times New Roman" w:hAnsi="Arial" w:cs="Arial"/>
          <w:b/>
          <w:bCs/>
          <w:color w:val="666666"/>
          <w:sz w:val="20"/>
          <w:szCs w:val="20"/>
        </w:rPr>
      </w:pPr>
      <w:r w:rsidRPr="004E2070">
        <w:rPr>
          <w:rFonts w:ascii="Arial" w:eastAsia="Times New Roman" w:hAnsi="Arial" w:cs="Arial"/>
          <w:b/>
          <w:bCs/>
          <w:color w:val="666666"/>
          <w:sz w:val="20"/>
          <w:szCs w:val="20"/>
        </w:rPr>
        <w:fldChar w:fldCharType="end"/>
      </w:r>
    </w:p>
    <w:p w:rsidR="007F74B0" w:rsidRPr="004E2070" w:rsidRDefault="007F74B0" w:rsidP="004E2070">
      <w:pPr>
        <w:pStyle w:val="NormalWeb"/>
        <w:spacing w:before="0" w:beforeAutospacing="0" w:after="0" w:afterAutospacing="0" w:line="360" w:lineRule="auto"/>
        <w:jc w:val="center"/>
        <w:rPr>
          <w:rFonts w:ascii="Arial" w:eastAsia="Times New Roman" w:hAnsi="Arial" w:cs="Arial"/>
          <w:b/>
          <w:bCs/>
          <w:color w:val="666666"/>
          <w:sz w:val="20"/>
          <w:szCs w:val="20"/>
        </w:rPr>
      </w:pPr>
    </w:p>
    <w:sectPr w:rsidR="007F74B0" w:rsidRPr="004E2070" w:rsidSect="002A1585">
      <w:headerReference w:type="default" r:id="rId14"/>
      <w:footerReference w:type="default" r:id="rId15"/>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F8D" w:rsidRDefault="00484F8D" w:rsidP="00A22916">
      <w:r>
        <w:separator/>
      </w:r>
    </w:p>
  </w:endnote>
  <w:endnote w:type="continuationSeparator" w:id="0">
    <w:p w:rsidR="00484F8D" w:rsidRDefault="00484F8D"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8D" w:rsidRDefault="00484F8D"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6C1EFB" w:rsidRPr="006C1EFB">
        <w:rPr>
          <w:rFonts w:asciiTheme="majorHAnsi" w:hAnsiTheme="majorHAnsi"/>
          <w:noProof/>
        </w:rPr>
        <w:t>3</w:t>
      </w:r>
    </w:fldSimple>
  </w:p>
  <w:p w:rsidR="00484F8D" w:rsidRDefault="00484F8D" w:rsidP="0063669F">
    <w:pPr>
      <w:pStyle w:val="Piedepgina"/>
    </w:pPr>
  </w:p>
  <w:p w:rsidR="00484F8D" w:rsidRDefault="00484F8D" w:rsidP="0063669F">
    <w:pPr>
      <w:pStyle w:val="Piedepgina"/>
    </w:pPr>
  </w:p>
  <w:p w:rsidR="00484F8D" w:rsidRDefault="00484F8D"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F8D" w:rsidRDefault="00484F8D" w:rsidP="00A22916">
      <w:r>
        <w:separator/>
      </w:r>
    </w:p>
  </w:footnote>
  <w:footnote w:type="continuationSeparator" w:id="0">
    <w:p w:rsidR="00484F8D" w:rsidRDefault="00484F8D"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8D" w:rsidRDefault="00484F8D"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3</w:t>
    </w:r>
    <w:r w:rsidR="004E2070">
      <w:rPr>
        <w:b/>
        <w:sz w:val="40"/>
        <w:szCs w:val="40"/>
      </w:rPr>
      <w:t>7</w:t>
    </w:r>
    <w:r>
      <w:rPr>
        <w:b/>
        <w:sz w:val="40"/>
        <w:szCs w:val="40"/>
      </w:rPr>
      <w:t>-19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4">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2">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4"/>
  </w:num>
  <w:num w:numId="7">
    <w:abstractNumId w:val="22"/>
  </w:num>
  <w:num w:numId="8">
    <w:abstractNumId w:val="21"/>
  </w:num>
  <w:num w:numId="9">
    <w:abstractNumId w:val="13"/>
  </w:num>
  <w:num w:numId="10">
    <w:abstractNumId w:val="19"/>
  </w:num>
  <w:num w:numId="11">
    <w:abstractNumId w:val="12"/>
  </w:num>
  <w:num w:numId="12">
    <w:abstractNumId w:val="14"/>
  </w:num>
  <w:num w:numId="13">
    <w:abstractNumId w:val="15"/>
  </w:num>
  <w:num w:numId="14">
    <w:abstractNumId w:val="7"/>
  </w:num>
  <w:num w:numId="15">
    <w:abstractNumId w:val="9"/>
  </w:num>
  <w:num w:numId="16">
    <w:abstractNumId w:val="4"/>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7"/>
  </w:num>
  <w:num w:numId="20">
    <w:abstractNumId w:val="2"/>
  </w:num>
  <w:num w:numId="21">
    <w:abstractNumId w:val="6"/>
  </w:num>
  <w:num w:numId="22">
    <w:abstractNumId w:val="20"/>
  </w:num>
  <w:num w:numId="23">
    <w:abstractNumId w:val="3"/>
  </w:num>
  <w:num w:numId="24">
    <w:abstractNumId w:val="5"/>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1E32"/>
    <w:rsid w:val="000141BB"/>
    <w:rsid w:val="0001798D"/>
    <w:rsid w:val="00020720"/>
    <w:rsid w:val="00024857"/>
    <w:rsid w:val="00024BA0"/>
    <w:rsid w:val="0002757E"/>
    <w:rsid w:val="00027808"/>
    <w:rsid w:val="00027FB3"/>
    <w:rsid w:val="000312D1"/>
    <w:rsid w:val="00034B4E"/>
    <w:rsid w:val="000365F4"/>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A444A"/>
    <w:rsid w:val="000A498D"/>
    <w:rsid w:val="000B1065"/>
    <w:rsid w:val="000B25E4"/>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6E0"/>
    <w:rsid w:val="000E7201"/>
    <w:rsid w:val="000F400D"/>
    <w:rsid w:val="000F62E1"/>
    <w:rsid w:val="000F64B0"/>
    <w:rsid w:val="000F6D2A"/>
    <w:rsid w:val="0010216E"/>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27D"/>
    <w:rsid w:val="001B1392"/>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DD8"/>
    <w:rsid w:val="002E03B4"/>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42475"/>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B7810"/>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F8D"/>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C725D"/>
    <w:rsid w:val="004D1D0A"/>
    <w:rsid w:val="004D2218"/>
    <w:rsid w:val="004D3372"/>
    <w:rsid w:val="004D4BFE"/>
    <w:rsid w:val="004D5A93"/>
    <w:rsid w:val="004D7E15"/>
    <w:rsid w:val="004E007C"/>
    <w:rsid w:val="004E11B3"/>
    <w:rsid w:val="004E1502"/>
    <w:rsid w:val="004E150F"/>
    <w:rsid w:val="004E2070"/>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2D41"/>
    <w:rsid w:val="005533E7"/>
    <w:rsid w:val="00557631"/>
    <w:rsid w:val="005578BC"/>
    <w:rsid w:val="005616AD"/>
    <w:rsid w:val="005616C9"/>
    <w:rsid w:val="00561E9D"/>
    <w:rsid w:val="00567FFD"/>
    <w:rsid w:val="0057177B"/>
    <w:rsid w:val="0057178D"/>
    <w:rsid w:val="0058111C"/>
    <w:rsid w:val="005816C7"/>
    <w:rsid w:val="005845EF"/>
    <w:rsid w:val="00584CAD"/>
    <w:rsid w:val="00584E7D"/>
    <w:rsid w:val="0058617A"/>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19D9"/>
    <w:rsid w:val="008C33A4"/>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4163"/>
    <w:rsid w:val="0096547D"/>
    <w:rsid w:val="00970515"/>
    <w:rsid w:val="009731AD"/>
    <w:rsid w:val="00975EA7"/>
    <w:rsid w:val="00982F05"/>
    <w:rsid w:val="00983382"/>
    <w:rsid w:val="00983817"/>
    <w:rsid w:val="00984EA5"/>
    <w:rsid w:val="00987CFA"/>
    <w:rsid w:val="0099160E"/>
    <w:rsid w:val="0099766E"/>
    <w:rsid w:val="009A5003"/>
    <w:rsid w:val="009A513D"/>
    <w:rsid w:val="009B1798"/>
    <w:rsid w:val="009B23B8"/>
    <w:rsid w:val="009B38E7"/>
    <w:rsid w:val="009B5379"/>
    <w:rsid w:val="009B5884"/>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AF"/>
    <w:rsid w:val="00BD1199"/>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E050C"/>
    <w:rsid w:val="00CE0F03"/>
    <w:rsid w:val="00CE1B5C"/>
    <w:rsid w:val="00CE2963"/>
    <w:rsid w:val="00CE400C"/>
    <w:rsid w:val="00CE478D"/>
    <w:rsid w:val="00CE6FC5"/>
    <w:rsid w:val="00CE7E51"/>
    <w:rsid w:val="00CF02BA"/>
    <w:rsid w:val="00D00832"/>
    <w:rsid w:val="00D02745"/>
    <w:rsid w:val="00D03A65"/>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910"/>
    <w:rsid w:val="00D978A4"/>
    <w:rsid w:val="00DA4170"/>
    <w:rsid w:val="00DB374E"/>
    <w:rsid w:val="00DB3E82"/>
    <w:rsid w:val="00DB4EAF"/>
    <w:rsid w:val="00DB5C26"/>
    <w:rsid w:val="00DB660E"/>
    <w:rsid w:val="00DB7AEE"/>
    <w:rsid w:val="00DC01EF"/>
    <w:rsid w:val="00DC11B0"/>
    <w:rsid w:val="00DC197E"/>
    <w:rsid w:val="00DC3958"/>
    <w:rsid w:val="00DC5162"/>
    <w:rsid w:val="00DC67E6"/>
    <w:rsid w:val="00DC76A1"/>
    <w:rsid w:val="00DD4EB3"/>
    <w:rsid w:val="00DD71F0"/>
    <w:rsid w:val="00DE0214"/>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4AC"/>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00D0"/>
    <w:rsid w:val="00F53620"/>
    <w:rsid w:val="00F542F5"/>
    <w:rsid w:val="00F54A5E"/>
    <w:rsid w:val="00F55D28"/>
    <w:rsid w:val="00F56404"/>
    <w:rsid w:val="00F64307"/>
    <w:rsid w:val="00F643AE"/>
    <w:rsid w:val="00F6464B"/>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69F"/>
    <w:rsid w:val="00FE527E"/>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teca.afip.gob.ar/dcp/REAG01004556_2019_08_20" TargetMode="External"/><Relationship Id="rId13" Type="http://schemas.openxmlformats.org/officeDocument/2006/relationships/hyperlink" Target="http://click.erreparmail.com/access.epl?shopperID=919863&amp;actionCode=51620&amp;enterCode=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lick.erreparmail.com/access.epl?shopperID=931841&amp;actionCode=51631&amp;enterCode=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iosweb.afip.gob.ar/genericos/formularios/pdf/F15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onotributo.afip.gob.ar/Public/landing-monotributo.aspx" TargetMode="External"/><Relationship Id="rId4" Type="http://schemas.openxmlformats.org/officeDocument/2006/relationships/settings" Target="settings.xml"/><Relationship Id="rId9" Type="http://schemas.openxmlformats.org/officeDocument/2006/relationships/hyperlink" Target="https://www.boletinoficial.gob.ar/detalleAviso/primera/214826/2019083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E3F95-6C53-42C3-8F9C-A249FB8C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1376</Words>
  <Characters>7572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4</cp:revision>
  <dcterms:created xsi:type="dcterms:W3CDTF">2019-09-13T21:37:00Z</dcterms:created>
  <dcterms:modified xsi:type="dcterms:W3CDTF">2019-09-13T21:49:00Z</dcterms:modified>
</cp:coreProperties>
</file>